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CB" w:rsidRPr="00983510" w:rsidRDefault="00714AAA" w:rsidP="00983510">
      <w:pPr>
        <w:jc w:val="both"/>
        <w:rPr>
          <w:b/>
          <w:sz w:val="28"/>
          <w:szCs w:val="28"/>
        </w:rPr>
      </w:pPr>
      <w:r w:rsidRPr="00983510">
        <w:rPr>
          <w:b/>
          <w:sz w:val="28"/>
          <w:szCs w:val="28"/>
        </w:rPr>
        <w:t>Le</w:t>
      </w:r>
      <w:r w:rsidR="00A26ACB" w:rsidRPr="00983510">
        <w:rPr>
          <w:b/>
          <w:sz w:val="28"/>
          <w:szCs w:val="28"/>
        </w:rPr>
        <w:t xml:space="preserve"> programme de développement pour l’après-2015 – priorités du gouvernement du Canada </w:t>
      </w:r>
    </w:p>
    <w:p w:rsidR="00E67B9E" w:rsidRPr="00983510" w:rsidRDefault="00E67B9E" w:rsidP="00983510">
      <w:pPr>
        <w:jc w:val="both"/>
        <w:rPr>
          <w:b/>
          <w:sz w:val="24"/>
          <w:szCs w:val="24"/>
        </w:rPr>
      </w:pPr>
      <w:bookmarkStart w:id="0" w:name="_GoBack"/>
      <w:r w:rsidRPr="00983510">
        <w:rPr>
          <w:b/>
          <w:sz w:val="24"/>
          <w:szCs w:val="24"/>
        </w:rPr>
        <w:t>Commentaire de l’Association québécoise des organismes de coopération internationale</w:t>
      </w:r>
      <w:r w:rsidR="00983510">
        <w:rPr>
          <w:b/>
          <w:sz w:val="24"/>
          <w:szCs w:val="24"/>
        </w:rPr>
        <w:t xml:space="preserve"> (AQOCI) </w:t>
      </w:r>
    </w:p>
    <w:p w:rsidR="00714AAA" w:rsidRPr="00983510" w:rsidRDefault="00714AAA" w:rsidP="00983510">
      <w:pPr>
        <w:jc w:val="both"/>
      </w:pPr>
      <w:r w:rsidRPr="00983510">
        <w:t xml:space="preserve">L’AQOCI accueille favorablement la volonté du gouvernement de </w:t>
      </w:r>
      <w:r w:rsidR="00A26ACB" w:rsidRPr="00983510">
        <w:t>« demander des commentaires </w:t>
      </w:r>
      <w:r w:rsidR="002B71A4" w:rsidRPr="00983510">
        <w:t xml:space="preserve">» </w:t>
      </w:r>
      <w:r w:rsidRPr="00983510">
        <w:t>sur les objectifs de développement durable</w:t>
      </w:r>
      <w:r w:rsidR="00983510" w:rsidRPr="00983510">
        <w:t xml:space="preserve"> (ODD)</w:t>
      </w:r>
      <w:r w:rsidRPr="00983510">
        <w:t xml:space="preserve">, bien que la possibilité d’influencer les résultats à cette étape semble très limitée. L’AQOCI sera disponible par la suite pour participer aux discussions avec le gouvernement sur ces enjeux. </w:t>
      </w:r>
    </w:p>
    <w:p w:rsidR="00C40E87" w:rsidRPr="00983510" w:rsidRDefault="00E67B9E" w:rsidP="00983510">
      <w:pPr>
        <w:jc w:val="both"/>
        <w:rPr>
          <w:b/>
        </w:rPr>
      </w:pPr>
      <w:r w:rsidRPr="00983510">
        <w:rPr>
          <w:b/>
        </w:rPr>
        <w:t>Le Canada doit assurer la réelle u</w:t>
      </w:r>
      <w:r w:rsidR="00B908FB" w:rsidRPr="00983510">
        <w:rPr>
          <w:b/>
        </w:rPr>
        <w:t>niversalité</w:t>
      </w:r>
      <w:r w:rsidRPr="00983510">
        <w:rPr>
          <w:b/>
        </w:rPr>
        <w:t xml:space="preserve"> de l’application des </w:t>
      </w:r>
      <w:r w:rsidR="00315940" w:rsidRPr="00983510">
        <w:rPr>
          <w:b/>
        </w:rPr>
        <w:t>Objectifs de développement durable (</w:t>
      </w:r>
      <w:r w:rsidRPr="00983510">
        <w:rPr>
          <w:b/>
        </w:rPr>
        <w:t>ODD</w:t>
      </w:r>
      <w:r w:rsidR="00315940" w:rsidRPr="00983510">
        <w:rPr>
          <w:b/>
        </w:rPr>
        <w:t>)</w:t>
      </w:r>
    </w:p>
    <w:p w:rsidR="00714AAA" w:rsidRPr="00983510" w:rsidRDefault="00714AAA" w:rsidP="00983510">
      <w:pPr>
        <w:jc w:val="both"/>
      </w:pPr>
      <w:r w:rsidRPr="00983510">
        <w:t xml:space="preserve">Les nouveaux objectifs de développement durable pourraient avoir un potentiel transformateur des </w:t>
      </w:r>
      <w:r w:rsidR="00A61133" w:rsidRPr="00983510">
        <w:t xml:space="preserve">inégalités économiques, sociales et culturelles </w:t>
      </w:r>
      <w:r w:rsidRPr="00983510">
        <w:t xml:space="preserve">actuelles du fait qu’ils sont universels. Il reste par ailleurs à définir la manière d’interpréter cette universalité. L’AQOCI soutient que les objectifs doivent être appliqués à l’ensemble des pays, bien au-delà de la simple participation, par exemple financière, du Canada. </w:t>
      </w:r>
      <w:r w:rsidR="00B908FB" w:rsidRPr="00983510">
        <w:t xml:space="preserve">En fait, </w:t>
      </w:r>
      <w:r w:rsidR="005721FC" w:rsidRPr="00983510">
        <w:t xml:space="preserve">la mise en œuvre </w:t>
      </w:r>
      <w:r w:rsidR="002B71A4" w:rsidRPr="00983510">
        <w:t>des ODD</w:t>
      </w:r>
      <w:r w:rsidRPr="00983510">
        <w:t xml:space="preserve"> </w:t>
      </w:r>
      <w:r w:rsidR="002B71A4" w:rsidRPr="00983510">
        <w:t>doit viser l’amélioration d</w:t>
      </w:r>
      <w:r w:rsidR="00B908FB" w:rsidRPr="00983510">
        <w:t>es</w:t>
      </w:r>
      <w:r w:rsidRPr="00983510">
        <w:t xml:space="preserve"> conditions de vie des Canadiennes et Canadiens les plus pauvres et marginalisés, tout comme</w:t>
      </w:r>
      <w:r w:rsidR="002B71A4" w:rsidRPr="00983510">
        <w:t xml:space="preserve"> elle doit soutenir le développement des</w:t>
      </w:r>
      <w:r w:rsidRPr="00983510">
        <w:t xml:space="preserve"> populations les plus pauvres et marginalisées de</w:t>
      </w:r>
      <w:r w:rsidR="002B71A4" w:rsidRPr="00983510">
        <w:t>s</w:t>
      </w:r>
      <w:r w:rsidRPr="00983510">
        <w:t xml:space="preserve"> pays du Sud</w:t>
      </w:r>
      <w:r w:rsidR="002B71A4" w:rsidRPr="00983510">
        <w:t>. Une priorité doit être accordée aux</w:t>
      </w:r>
      <w:r w:rsidR="00B908FB" w:rsidRPr="00983510">
        <w:t xml:space="preserve"> </w:t>
      </w:r>
      <w:r w:rsidR="00B847E0" w:rsidRPr="00983510">
        <w:t>femmes</w:t>
      </w:r>
      <w:r w:rsidR="002B71A4" w:rsidRPr="00983510">
        <w:t>, aux autochtones, aux personnes handicapées et aux</w:t>
      </w:r>
      <w:r w:rsidR="00B847E0" w:rsidRPr="00983510">
        <w:t xml:space="preserve"> enfants</w:t>
      </w:r>
      <w:r w:rsidR="002B71A4" w:rsidRPr="00983510">
        <w:t>, au Sud comme au Canada.</w:t>
      </w:r>
      <w:r w:rsidR="00B908FB" w:rsidRPr="00983510">
        <w:t xml:space="preserve"> L</w:t>
      </w:r>
      <w:r w:rsidRPr="00983510">
        <w:t xml:space="preserve">e Canada </w:t>
      </w:r>
      <w:r w:rsidR="00B908FB" w:rsidRPr="00983510">
        <w:t>devrait soutenir</w:t>
      </w:r>
      <w:r w:rsidRPr="00983510">
        <w:t xml:space="preserve"> cette interprétation </w:t>
      </w:r>
      <w:r w:rsidR="00B908FB" w:rsidRPr="00983510">
        <w:t xml:space="preserve">de l’universalité </w:t>
      </w:r>
      <w:r w:rsidRPr="00983510">
        <w:t>à l’ONU</w:t>
      </w:r>
      <w:r w:rsidR="00B908FB" w:rsidRPr="00983510">
        <w:t>, n</w:t>
      </w:r>
      <w:r w:rsidRPr="00983510">
        <w:t xml:space="preserve">otamment </w:t>
      </w:r>
      <w:r w:rsidR="00983510" w:rsidRPr="00983510">
        <w:t xml:space="preserve">parce que </w:t>
      </w:r>
      <w:r w:rsidR="005721FC" w:rsidRPr="00983510">
        <w:t xml:space="preserve">les </w:t>
      </w:r>
      <w:r w:rsidR="00B908FB" w:rsidRPr="00983510">
        <w:t>changements climatiques et</w:t>
      </w:r>
      <w:r w:rsidR="00983510" w:rsidRPr="00983510">
        <w:t xml:space="preserve"> l</w:t>
      </w:r>
      <w:r w:rsidRPr="00983510">
        <w:t xml:space="preserve">es inégalités </w:t>
      </w:r>
      <w:r w:rsidR="005721FC" w:rsidRPr="00983510">
        <w:t xml:space="preserve">ont des conséquences néfastes </w:t>
      </w:r>
      <w:r w:rsidRPr="00983510">
        <w:t>sur l’ensemble des populations du monde</w:t>
      </w:r>
      <w:r w:rsidR="00983510" w:rsidRPr="00983510">
        <w:t>, vu leur interrelation</w:t>
      </w:r>
      <w:r w:rsidRPr="00983510">
        <w:t xml:space="preserve">. </w:t>
      </w:r>
    </w:p>
    <w:bookmarkEnd w:id="0"/>
    <w:p w:rsidR="00B847E0" w:rsidRPr="00983510" w:rsidRDefault="00E67B9E" w:rsidP="00983510">
      <w:pPr>
        <w:jc w:val="both"/>
        <w:rPr>
          <w:b/>
        </w:rPr>
      </w:pPr>
      <w:r w:rsidRPr="00983510">
        <w:rPr>
          <w:b/>
        </w:rPr>
        <w:t>D</w:t>
      </w:r>
      <w:r w:rsidR="00B847E0" w:rsidRPr="00983510">
        <w:rPr>
          <w:b/>
        </w:rPr>
        <w:t>roits humains</w:t>
      </w:r>
    </w:p>
    <w:p w:rsidR="00B847E0" w:rsidRPr="00983510" w:rsidRDefault="00B847E0" w:rsidP="00983510">
      <w:pPr>
        <w:jc w:val="both"/>
      </w:pPr>
      <w:r w:rsidRPr="00983510">
        <w:t>L’AQOCI considère que</w:t>
      </w:r>
      <w:r w:rsidR="00B908FB" w:rsidRPr="00983510">
        <w:t xml:space="preserve"> la défense et le respect des droits humains </w:t>
      </w:r>
      <w:r w:rsidR="00983510" w:rsidRPr="00983510">
        <w:t>demeure</w:t>
      </w:r>
      <w:r w:rsidRPr="00983510">
        <w:t xml:space="preserve"> </w:t>
      </w:r>
      <w:r w:rsidR="00B908FB" w:rsidRPr="00983510">
        <w:t>le cadre le plus porteur pour arriver à atteindre un changement structurel qui mènera à une réelle justice internat</w:t>
      </w:r>
      <w:r w:rsidR="00315940" w:rsidRPr="00983510">
        <w:t>ionale. Ainsi, les actions mises</w:t>
      </w:r>
      <w:r w:rsidR="00B908FB" w:rsidRPr="00983510">
        <w:t xml:space="preserve"> en œuvre, le choix des acteurs</w:t>
      </w:r>
      <w:r w:rsidR="00315940" w:rsidRPr="00983510">
        <w:t xml:space="preserve"> impliqués et</w:t>
      </w:r>
      <w:r w:rsidR="00B908FB" w:rsidRPr="00983510">
        <w:t xml:space="preserve"> les processus de planification des actions ne devraient pas nuire à l’atteinte des droits humains, mais plutôt contribuer à leur respect, notamment en assurant la participation, la consultation et le consentement des populations touchées. De même, </w:t>
      </w:r>
      <w:r w:rsidR="00315940" w:rsidRPr="00983510">
        <w:t xml:space="preserve">tous </w:t>
      </w:r>
      <w:r w:rsidR="00B908FB" w:rsidRPr="00983510">
        <w:t xml:space="preserve">les acteurs, </w:t>
      </w:r>
      <w:r w:rsidR="00315940" w:rsidRPr="00983510">
        <w:t xml:space="preserve">incluant ceux </w:t>
      </w:r>
      <w:r w:rsidR="00B908FB" w:rsidRPr="00983510">
        <w:t>du secteur privé</w:t>
      </w:r>
      <w:r w:rsidR="002B71A4" w:rsidRPr="00983510">
        <w:t xml:space="preserve">, </w:t>
      </w:r>
      <w:r w:rsidR="00B908FB" w:rsidRPr="00983510">
        <w:t>ayant violé les droits humains devraient être exclus de la participation aux mesures (financement, actions, partenariat public-privé…) visant à atteindre les ODD.</w:t>
      </w:r>
    </w:p>
    <w:p w:rsidR="00EF3F92" w:rsidRPr="00983510" w:rsidRDefault="00EF3F92" w:rsidP="00983510">
      <w:pPr>
        <w:jc w:val="both"/>
      </w:pPr>
      <w:r w:rsidRPr="00983510">
        <w:t xml:space="preserve">Ainsi, l’AQOCI salue la priorité donnée à la santé </w:t>
      </w:r>
      <w:r w:rsidR="00315940" w:rsidRPr="00983510">
        <w:t xml:space="preserve">des mères, des nouveau-nés et des enfants </w:t>
      </w:r>
      <w:r w:rsidRPr="00983510">
        <w:t xml:space="preserve">ainsi que l’objectif transversal de travailler à l’autonomisation économique des femmes et des filles. </w:t>
      </w:r>
      <w:r w:rsidR="00EB0ED3" w:rsidRPr="00983510">
        <w:t>Par ailleurs, c</w:t>
      </w:r>
      <w:r w:rsidRPr="00983510">
        <w:t>es deux priorités gagneraient à être combinées afin que la</w:t>
      </w:r>
      <w:r w:rsidR="00EB0ED3" w:rsidRPr="00983510">
        <w:t xml:space="preserve"> défense de l’ensemble des droits des femmes puisse devenir centrale à la lutte pour l’</w:t>
      </w:r>
      <w:r w:rsidR="00983510" w:rsidRPr="00983510">
        <w:t>amélioration de leurs conditions de vie</w:t>
      </w:r>
      <w:r w:rsidR="00EB0ED3" w:rsidRPr="00983510">
        <w:t>.</w:t>
      </w:r>
      <w:r w:rsidRPr="00983510">
        <w:t xml:space="preserve"> </w:t>
      </w:r>
    </w:p>
    <w:p w:rsidR="00714AAA" w:rsidRPr="00983510" w:rsidRDefault="00E67B9E" w:rsidP="00983510">
      <w:pPr>
        <w:jc w:val="both"/>
        <w:rPr>
          <w:b/>
        </w:rPr>
      </w:pPr>
      <w:r w:rsidRPr="00983510">
        <w:rPr>
          <w:b/>
        </w:rPr>
        <w:lastRenderedPageBreak/>
        <w:t>La durabilité dépend de la lutte contre les c</w:t>
      </w:r>
      <w:r w:rsidR="00714AAA" w:rsidRPr="00983510">
        <w:rPr>
          <w:b/>
        </w:rPr>
        <w:t xml:space="preserve">hangements climatiques </w:t>
      </w:r>
    </w:p>
    <w:p w:rsidR="00B908FB" w:rsidRPr="00983510" w:rsidRDefault="00EB0ED3" w:rsidP="00983510">
      <w:pPr>
        <w:pStyle w:val="Commentaire"/>
        <w:spacing w:line="276" w:lineRule="auto"/>
        <w:jc w:val="both"/>
        <w:rPr>
          <w:sz w:val="22"/>
          <w:szCs w:val="22"/>
        </w:rPr>
      </w:pPr>
      <w:r w:rsidRPr="00983510">
        <w:rPr>
          <w:sz w:val="22"/>
          <w:szCs w:val="22"/>
        </w:rPr>
        <w:t xml:space="preserve">Les changements climatiques présentent des défis grandissants et il est urgent d’adopter des plans d’actions concertés afin d’y  faire face et de les endiguer. </w:t>
      </w:r>
      <w:r w:rsidR="00B908FB" w:rsidRPr="00983510">
        <w:rPr>
          <w:sz w:val="22"/>
          <w:szCs w:val="22"/>
        </w:rPr>
        <w:t xml:space="preserve">L’AQOCI est d’avis </w:t>
      </w:r>
      <w:r w:rsidRPr="00983510">
        <w:rPr>
          <w:rStyle w:val="Marquedecommentaire"/>
          <w:sz w:val="22"/>
          <w:szCs w:val="22"/>
        </w:rPr>
        <w:t/>
      </w:r>
      <w:r w:rsidRPr="00983510">
        <w:rPr>
          <w:sz w:val="22"/>
          <w:szCs w:val="22"/>
        </w:rPr>
        <w:t xml:space="preserve">qu’il sera impossible d’atteindre les ODD, et en particulier pour les populations les plus vulnérables,  s’ils n’incluent pas des objectifs de lutte aux changements climatiques. </w:t>
      </w:r>
      <w:r w:rsidR="00B908FB" w:rsidRPr="00983510">
        <w:rPr>
          <w:sz w:val="22"/>
          <w:szCs w:val="22"/>
        </w:rPr>
        <w:t>En effet, ce sont déjà 22 millions de personnes qui ont dû se déplacer dû à une catastrophe naturelle</w:t>
      </w:r>
      <w:r w:rsidR="006632C0" w:rsidRPr="00983510">
        <w:rPr>
          <w:sz w:val="22"/>
          <w:szCs w:val="22"/>
        </w:rPr>
        <w:t xml:space="preserve"> découlant des changements climatiques</w:t>
      </w:r>
      <w:r w:rsidR="00B908FB" w:rsidRPr="00983510">
        <w:rPr>
          <w:sz w:val="22"/>
          <w:szCs w:val="22"/>
        </w:rPr>
        <w:t xml:space="preserve"> en 2013 (inondation, tempête, typhon, ouragan)</w:t>
      </w:r>
      <w:r w:rsidR="00B908FB" w:rsidRPr="00983510">
        <w:rPr>
          <w:rStyle w:val="Appelnotedebasdep"/>
          <w:sz w:val="22"/>
          <w:szCs w:val="22"/>
        </w:rPr>
        <w:footnoteReference w:id="1"/>
      </w:r>
      <w:r w:rsidR="00B908FB" w:rsidRPr="00983510">
        <w:rPr>
          <w:sz w:val="22"/>
          <w:szCs w:val="22"/>
        </w:rPr>
        <w:t xml:space="preserve">. </w:t>
      </w:r>
      <w:r w:rsidRPr="00983510">
        <w:rPr>
          <w:sz w:val="22"/>
          <w:szCs w:val="22"/>
        </w:rPr>
        <w:t xml:space="preserve">Ces catastrophes seront de plus en plus fréquentes dans </w:t>
      </w:r>
      <w:proofErr w:type="gramStart"/>
      <w:r w:rsidRPr="00983510">
        <w:rPr>
          <w:sz w:val="22"/>
          <w:szCs w:val="22"/>
        </w:rPr>
        <w:t xml:space="preserve">les prochaines années </w:t>
      </w:r>
      <w:r w:rsidR="00983510" w:rsidRPr="00983510">
        <w:rPr>
          <w:sz w:val="22"/>
          <w:szCs w:val="22"/>
        </w:rPr>
        <w:t>dû</w:t>
      </w:r>
      <w:proofErr w:type="gramEnd"/>
      <w:r w:rsidRPr="00983510">
        <w:rPr>
          <w:sz w:val="22"/>
          <w:szCs w:val="22"/>
        </w:rPr>
        <w:t xml:space="preserve"> aux changements climatiques.</w:t>
      </w:r>
    </w:p>
    <w:p w:rsidR="00714AAA" w:rsidRPr="00983510" w:rsidRDefault="00B908FB" w:rsidP="00983510">
      <w:pPr>
        <w:jc w:val="both"/>
      </w:pPr>
      <w:r w:rsidRPr="00983510">
        <w:t>Aussi, la</w:t>
      </w:r>
      <w:r w:rsidR="00714AAA" w:rsidRPr="00983510">
        <w:t xml:space="preserve"> lutte contre les changements climatiques d</w:t>
      </w:r>
      <w:r w:rsidRPr="00983510">
        <w:t xml:space="preserve">evrait </w:t>
      </w:r>
      <w:r w:rsidR="00714AAA" w:rsidRPr="00983510">
        <w:t xml:space="preserve">faire partie des priorités du Canada dans le programme de développement de l’après 2015, </w:t>
      </w:r>
      <w:r w:rsidR="00EB0ED3" w:rsidRPr="00983510">
        <w:t xml:space="preserve">au Canada tout comme ailleurs, avec </w:t>
      </w:r>
      <w:r w:rsidR="00714AAA" w:rsidRPr="00983510">
        <w:t>le financement et l’appui à l’adaptation aux changements climatiques</w:t>
      </w:r>
      <w:r w:rsidR="00E67B9E" w:rsidRPr="00983510">
        <w:t xml:space="preserve"> pour les pays les plus touchés</w:t>
      </w:r>
      <w:r w:rsidR="00714AAA" w:rsidRPr="00983510">
        <w:t xml:space="preserve">. </w:t>
      </w:r>
    </w:p>
    <w:p w:rsidR="00714AAA" w:rsidRPr="00983510" w:rsidRDefault="00E67B9E" w:rsidP="00983510">
      <w:pPr>
        <w:jc w:val="both"/>
        <w:rPr>
          <w:b/>
        </w:rPr>
      </w:pPr>
      <w:r w:rsidRPr="00983510">
        <w:rPr>
          <w:b/>
        </w:rPr>
        <w:t>Prôner un rôle limité pour le s</w:t>
      </w:r>
      <w:r w:rsidR="00714AAA" w:rsidRPr="00983510">
        <w:rPr>
          <w:b/>
        </w:rPr>
        <w:t>ecteur privé</w:t>
      </w:r>
    </w:p>
    <w:p w:rsidR="00714AAA" w:rsidRPr="00983510" w:rsidRDefault="00714AAA" w:rsidP="00983510">
      <w:pPr>
        <w:jc w:val="both"/>
      </w:pPr>
      <w:r w:rsidRPr="00983510">
        <w:t xml:space="preserve">L’AQOCI reconnaît que le secteur privé peut jouer un rôle dans l’amélioration des conditions de vie à l’international. Dans ce sens, </w:t>
      </w:r>
      <w:r w:rsidR="00EF3F92" w:rsidRPr="00983510">
        <w:t xml:space="preserve">selon le CAD de l’OCDE, </w:t>
      </w:r>
      <w:r w:rsidRPr="00983510">
        <w:t>le secteur privé local, de petite envergure est celui qui laisse le plus de bénéfices aux populations</w:t>
      </w:r>
      <w:r w:rsidR="00B908FB" w:rsidRPr="00983510">
        <w:t xml:space="preserve"> les plus pauvres et qui permet le mieux d’assurer la durabilité des initiatives de développement</w:t>
      </w:r>
      <w:r w:rsidR="00B847E0" w:rsidRPr="00983510">
        <w:rPr>
          <w:rStyle w:val="Appelnotedebasdep"/>
        </w:rPr>
        <w:footnoteReference w:id="2"/>
      </w:r>
      <w:r w:rsidRPr="00983510">
        <w:t>.</w:t>
      </w:r>
      <w:r w:rsidR="00F94863" w:rsidRPr="00983510">
        <w:t xml:space="preserve"> C’est donc ce secteur qui devrait être privilégié.</w:t>
      </w:r>
      <w:r w:rsidRPr="00983510">
        <w:t xml:space="preserve"> </w:t>
      </w:r>
      <w:r w:rsidR="00C509AD" w:rsidRPr="00983510">
        <w:t>Par ailleurs, l</w:t>
      </w:r>
      <w:r w:rsidR="00EF3F92" w:rsidRPr="00983510">
        <w:t xml:space="preserve">e rôle </w:t>
      </w:r>
      <w:r w:rsidR="00C509AD" w:rsidRPr="00983510">
        <w:t xml:space="preserve">du secteur privé </w:t>
      </w:r>
      <w:r w:rsidR="00EF3F92" w:rsidRPr="00983510">
        <w:t>dans le programme des ODD gagnerait à être limité.</w:t>
      </w:r>
      <w:r w:rsidR="00C509AD" w:rsidRPr="00983510">
        <w:t xml:space="preserve"> Une attention devrait être accordée aux principes de responsabilité sociale des entrepri</w:t>
      </w:r>
      <w:r w:rsidR="00983510">
        <w:t>ses qui devraient être enchâssé</w:t>
      </w:r>
      <w:r w:rsidR="00C509AD" w:rsidRPr="00983510">
        <w:t>s dans des cadres législatifs</w:t>
      </w:r>
      <w:r w:rsidR="00F94863" w:rsidRPr="00983510">
        <w:t xml:space="preserve"> contraignants</w:t>
      </w:r>
      <w:r w:rsidR="00C509AD" w:rsidRPr="00983510">
        <w:t>.</w:t>
      </w:r>
    </w:p>
    <w:p w:rsidR="00EF3F92" w:rsidRPr="00983510" w:rsidRDefault="00714AAA" w:rsidP="00983510">
      <w:pPr>
        <w:pStyle w:val="Commentaire"/>
        <w:spacing w:line="276" w:lineRule="auto"/>
        <w:jc w:val="both"/>
        <w:rPr>
          <w:sz w:val="22"/>
          <w:szCs w:val="22"/>
        </w:rPr>
      </w:pPr>
      <w:r w:rsidRPr="00983510">
        <w:rPr>
          <w:sz w:val="22"/>
          <w:szCs w:val="22"/>
        </w:rPr>
        <w:t>L</w:t>
      </w:r>
      <w:r w:rsidR="00B908FB" w:rsidRPr="00983510">
        <w:rPr>
          <w:sz w:val="22"/>
          <w:szCs w:val="22"/>
        </w:rPr>
        <w:t>’AQOCI est par ailleurs d’avis que le</w:t>
      </w:r>
      <w:r w:rsidRPr="00983510">
        <w:rPr>
          <w:sz w:val="22"/>
          <w:szCs w:val="22"/>
        </w:rPr>
        <w:t xml:space="preserve"> rôle principal du développement doit être attribué à l’État,</w:t>
      </w:r>
      <w:r w:rsidR="00B847E0" w:rsidRPr="00983510">
        <w:rPr>
          <w:sz w:val="22"/>
          <w:szCs w:val="22"/>
        </w:rPr>
        <w:t xml:space="preserve"> car il demeure le</w:t>
      </w:r>
      <w:r w:rsidRPr="00983510">
        <w:rPr>
          <w:sz w:val="22"/>
          <w:szCs w:val="22"/>
        </w:rPr>
        <w:t xml:space="preserve"> seul garant de la redistribution des richesses à long terme et du respect des droits humains. </w:t>
      </w:r>
      <w:r w:rsidR="00865C17" w:rsidRPr="00983510">
        <w:rPr>
          <w:sz w:val="22"/>
          <w:szCs w:val="22"/>
        </w:rPr>
        <w:t xml:space="preserve">Avec l’augmentation </w:t>
      </w:r>
      <w:r w:rsidR="00EF3F92" w:rsidRPr="00983510">
        <w:rPr>
          <w:sz w:val="22"/>
          <w:szCs w:val="22"/>
        </w:rPr>
        <w:t>des inégalités observée à travers le monde</w:t>
      </w:r>
      <w:r w:rsidR="00EF3F92" w:rsidRPr="00983510">
        <w:rPr>
          <w:rStyle w:val="Appelnotedebasdep"/>
          <w:sz w:val="22"/>
          <w:szCs w:val="22"/>
        </w:rPr>
        <w:footnoteReference w:id="3"/>
      </w:r>
      <w:r w:rsidR="00EF3F92" w:rsidRPr="00983510">
        <w:rPr>
          <w:sz w:val="22"/>
          <w:szCs w:val="22"/>
        </w:rPr>
        <w:t>, il de</w:t>
      </w:r>
      <w:r w:rsidR="00865C17" w:rsidRPr="00983510">
        <w:rPr>
          <w:sz w:val="22"/>
          <w:szCs w:val="22"/>
        </w:rPr>
        <w:t>vient évident que la croissance</w:t>
      </w:r>
      <w:r w:rsidR="00F94863" w:rsidRPr="00983510">
        <w:rPr>
          <w:sz w:val="22"/>
          <w:szCs w:val="22"/>
        </w:rPr>
        <w:t xml:space="preserve"> économique</w:t>
      </w:r>
      <w:r w:rsidR="00865C17" w:rsidRPr="00983510">
        <w:rPr>
          <w:sz w:val="22"/>
          <w:szCs w:val="22"/>
        </w:rPr>
        <w:t xml:space="preserve"> </w:t>
      </w:r>
      <w:r w:rsidR="00EF3F92" w:rsidRPr="00983510">
        <w:rPr>
          <w:sz w:val="22"/>
          <w:szCs w:val="22"/>
        </w:rPr>
        <w:t>n’est pas su</w:t>
      </w:r>
      <w:r w:rsidR="00865C17" w:rsidRPr="00983510">
        <w:rPr>
          <w:sz w:val="22"/>
          <w:szCs w:val="22"/>
        </w:rPr>
        <w:t>ffisante pour assurer le respect de tous les droits pour toutes et</w:t>
      </w:r>
      <w:r w:rsidR="00EF3F92" w:rsidRPr="00983510">
        <w:rPr>
          <w:sz w:val="22"/>
          <w:szCs w:val="22"/>
        </w:rPr>
        <w:t xml:space="preserve"> to</w:t>
      </w:r>
      <w:r w:rsidR="00865C17" w:rsidRPr="00983510">
        <w:rPr>
          <w:sz w:val="22"/>
          <w:szCs w:val="22"/>
        </w:rPr>
        <w:t xml:space="preserve">us et qu’elle peut même </w:t>
      </w:r>
      <w:r w:rsidR="00F94863" w:rsidRPr="00983510">
        <w:rPr>
          <w:sz w:val="22"/>
          <w:szCs w:val="22"/>
        </w:rPr>
        <w:t xml:space="preserve">amener à </w:t>
      </w:r>
      <w:r w:rsidR="00865C17" w:rsidRPr="00983510">
        <w:rPr>
          <w:sz w:val="22"/>
          <w:szCs w:val="22"/>
        </w:rPr>
        <w:t xml:space="preserve">violer des </w:t>
      </w:r>
      <w:r w:rsidR="00EF3F92" w:rsidRPr="00983510">
        <w:rPr>
          <w:sz w:val="22"/>
          <w:szCs w:val="22"/>
        </w:rPr>
        <w:t>droits si les règles entourant le commerce et l’activité des entreprises sont modifiées pour favoriser la croissance à tout prix. De même,</w:t>
      </w:r>
      <w:r w:rsidR="00731FF8" w:rsidRPr="00983510">
        <w:rPr>
          <w:sz w:val="22"/>
          <w:szCs w:val="22"/>
        </w:rPr>
        <w:t xml:space="preserve"> </w:t>
      </w:r>
      <w:r w:rsidR="00F94863" w:rsidRPr="00983510">
        <w:rPr>
          <w:sz w:val="22"/>
          <w:szCs w:val="22"/>
        </w:rPr>
        <w:t xml:space="preserve">la prestation de services sociaux par le secteur privé, comme l’éducation ou des services de santé, </w:t>
      </w:r>
      <w:r w:rsidR="00EF3F92" w:rsidRPr="00983510">
        <w:rPr>
          <w:sz w:val="22"/>
          <w:szCs w:val="22"/>
        </w:rPr>
        <w:t xml:space="preserve">a contribué dans plusieurs cas à l’affaiblissement des institutions publiques et </w:t>
      </w:r>
      <w:r w:rsidR="00731FF8" w:rsidRPr="00983510">
        <w:rPr>
          <w:sz w:val="22"/>
          <w:szCs w:val="22"/>
        </w:rPr>
        <w:t xml:space="preserve">de </w:t>
      </w:r>
      <w:r w:rsidR="00EF3F92" w:rsidRPr="00983510">
        <w:rPr>
          <w:sz w:val="22"/>
          <w:szCs w:val="22"/>
        </w:rPr>
        <w:t xml:space="preserve">la confiance des </w:t>
      </w:r>
      <w:r w:rsidR="00731FF8" w:rsidRPr="00983510">
        <w:rPr>
          <w:sz w:val="22"/>
          <w:szCs w:val="22"/>
        </w:rPr>
        <w:t xml:space="preserve">citoyennes et des </w:t>
      </w:r>
      <w:r w:rsidR="00EF3F92" w:rsidRPr="00983510">
        <w:rPr>
          <w:sz w:val="22"/>
          <w:szCs w:val="22"/>
        </w:rPr>
        <w:t xml:space="preserve">citoyens envers leur gouvernement, fragilisant à long terme les systèmes </w:t>
      </w:r>
      <w:r w:rsidR="00731FF8" w:rsidRPr="00983510">
        <w:rPr>
          <w:sz w:val="22"/>
          <w:szCs w:val="22"/>
        </w:rPr>
        <w:t xml:space="preserve">publiques </w:t>
      </w:r>
      <w:r w:rsidR="00EF3F92" w:rsidRPr="00983510">
        <w:rPr>
          <w:sz w:val="22"/>
          <w:szCs w:val="22"/>
        </w:rPr>
        <w:t xml:space="preserve">de santé, d’éducation, de création d’infrastructures.  </w:t>
      </w:r>
    </w:p>
    <w:p w:rsidR="00714AAA" w:rsidRPr="00983510" w:rsidRDefault="00714AAA" w:rsidP="00983510">
      <w:pPr>
        <w:jc w:val="both"/>
      </w:pPr>
      <w:r w:rsidRPr="00983510">
        <w:lastRenderedPageBreak/>
        <w:t xml:space="preserve">Le </w:t>
      </w:r>
      <w:r w:rsidR="00F94863" w:rsidRPr="00983510">
        <w:t>texte</w:t>
      </w:r>
      <w:r w:rsidRPr="00983510">
        <w:t xml:space="preserve"> actuel de</w:t>
      </w:r>
      <w:r w:rsidR="00F94863" w:rsidRPr="00983510">
        <w:t xml:space="preserve">s ODD </w:t>
      </w:r>
      <w:r w:rsidRPr="00983510">
        <w:t xml:space="preserve">fait référence aux partenariats publics-privés et aux partenariats multipartites, alors qu’il n’est toujours pas prouvé que ces collaborations </w:t>
      </w:r>
      <w:r w:rsidR="00F94863" w:rsidRPr="00983510">
        <w:t>aie</w:t>
      </w:r>
      <w:r w:rsidR="002B71A4" w:rsidRPr="00983510">
        <w:t>nt</w:t>
      </w:r>
      <w:r w:rsidRPr="00983510">
        <w:t xml:space="preserve"> favorisé les plus pauvres dans le passé</w:t>
      </w:r>
      <w:r w:rsidR="00B847E0" w:rsidRPr="00983510">
        <w:rPr>
          <w:rStyle w:val="Appelnotedebasdep"/>
        </w:rPr>
        <w:footnoteReference w:id="4"/>
      </w:r>
      <w:r w:rsidRPr="00983510">
        <w:t xml:space="preserve">. </w:t>
      </w:r>
      <w:r w:rsidR="00983510">
        <w:t>De plus, l</w:t>
      </w:r>
      <w:r w:rsidR="00EF3F92" w:rsidRPr="00983510">
        <w:t>es p</w:t>
      </w:r>
      <w:r w:rsidR="00731FF8" w:rsidRPr="00983510">
        <w:t>artenariats multipartites peuvent être potentiellement sources de conflits d’intérêts, les entreprises défenda</w:t>
      </w:r>
      <w:r w:rsidR="00EF3F92" w:rsidRPr="00983510">
        <w:t>nt leurs intérêts propres plutôt que ceux de la population.</w:t>
      </w:r>
      <w:r w:rsidR="00EF3F92" w:rsidRPr="00983510">
        <w:rPr>
          <w:rStyle w:val="Appelnotedebasdep"/>
        </w:rPr>
        <w:footnoteReference w:id="5"/>
      </w:r>
      <w:r w:rsidR="00EF3F92" w:rsidRPr="00983510">
        <w:t xml:space="preserve"> </w:t>
      </w:r>
    </w:p>
    <w:p w:rsidR="00EF3F92" w:rsidRPr="00983510" w:rsidRDefault="00EF3F92" w:rsidP="00983510">
      <w:pPr>
        <w:jc w:val="both"/>
      </w:pPr>
      <w:r w:rsidRPr="00983510">
        <w:t>Le secteur privé est aussi présent</w:t>
      </w:r>
      <w:r w:rsidR="00731FF8" w:rsidRPr="00983510">
        <w:t>é comme un acteur privilégié</w:t>
      </w:r>
      <w:r w:rsidRPr="00983510">
        <w:t xml:space="preserve"> dans les modes de </w:t>
      </w:r>
      <w:r w:rsidR="002B71A4" w:rsidRPr="00983510">
        <w:t>financement</w:t>
      </w:r>
      <w:r w:rsidR="00731FF8" w:rsidRPr="00983510">
        <w:t xml:space="preserve"> proposés. Ces divers </w:t>
      </w:r>
      <w:r w:rsidRPr="00983510">
        <w:t>niveaux d’implication du secteur privé</w:t>
      </w:r>
      <w:r w:rsidR="00F94863" w:rsidRPr="00983510">
        <w:t xml:space="preserve"> dans le programme post-2015 fon</w:t>
      </w:r>
      <w:r w:rsidRPr="00983510">
        <w:t>t craindre à l’AQOCI, comme à certains États impliqués, une « externalisation » de la responsabilité des ODD au secteur privé, incluant leur responsabilisation pour l’atteinte d’objectifs qui sont ultimement du ressort des États. Ainsi, la lutte contre l’évasion fiscale ici et à l’étranger</w:t>
      </w:r>
      <w:r w:rsidR="00F94863" w:rsidRPr="00983510">
        <w:t xml:space="preserve">, en renflouant les coffres des États du Nord et du Sud, </w:t>
      </w:r>
      <w:r w:rsidRPr="00983510">
        <w:t xml:space="preserve">permettrait pourtant d’obtenir une part importante des efforts nécessaires au financement de l’atteinte des ODD. Selon le groupe </w:t>
      </w:r>
      <w:r w:rsidRPr="00983510">
        <w:rPr>
          <w:i/>
        </w:rPr>
        <w:t>Global financial integrity</w:t>
      </w:r>
      <w:r w:rsidR="00E67B9E" w:rsidRPr="00983510">
        <w:t>, les pays</w:t>
      </w:r>
      <w:r w:rsidRPr="00983510">
        <w:t xml:space="preserve"> en développement</w:t>
      </w:r>
      <w:r w:rsidR="00E67B9E" w:rsidRPr="00983510">
        <w:t xml:space="preserve"> auraient perdu 5,9 billions </w:t>
      </w:r>
      <w:r w:rsidR="002B71A4" w:rsidRPr="00983510">
        <w:t>$ US</w:t>
      </w:r>
      <w:r w:rsidR="00E67B9E" w:rsidRPr="00983510">
        <w:t xml:space="preserve"> </w:t>
      </w:r>
      <w:r w:rsidRPr="00983510">
        <w:t xml:space="preserve">entre 2002 et 2011, et 954 milliards </w:t>
      </w:r>
      <w:r w:rsidR="002B71A4" w:rsidRPr="00983510">
        <w:t>$ US</w:t>
      </w:r>
      <w:r w:rsidR="00E67B9E" w:rsidRPr="00983510">
        <w:t xml:space="preserve"> </w:t>
      </w:r>
      <w:r w:rsidRPr="00983510">
        <w:t>pour l’année 2011 seulement</w:t>
      </w:r>
      <w:r w:rsidRPr="00983510">
        <w:rPr>
          <w:rStyle w:val="Appelnotedebasdep"/>
        </w:rPr>
        <w:footnoteReference w:id="6"/>
      </w:r>
      <w:r w:rsidRPr="00983510">
        <w:t xml:space="preserve">. L’AQOCI considère que le Canada aurait avantage à plaider pour l’inclusion de la lutte contre l’évasion fiscale comme </w:t>
      </w:r>
      <w:r w:rsidR="00E67B9E" w:rsidRPr="00983510">
        <w:t>voie alter</w:t>
      </w:r>
      <w:r w:rsidR="00731FF8" w:rsidRPr="00983510">
        <w:t>native pour le financement et pour</w:t>
      </w:r>
      <w:r w:rsidR="00E67B9E" w:rsidRPr="00983510">
        <w:t xml:space="preserve"> l’atteinte des ODD</w:t>
      </w:r>
      <w:r w:rsidRPr="00983510">
        <w:t>.</w:t>
      </w:r>
    </w:p>
    <w:p w:rsidR="00714AAA" w:rsidRPr="00983510" w:rsidRDefault="00714AAA" w:rsidP="00983510">
      <w:pPr>
        <w:jc w:val="both"/>
        <w:rPr>
          <w:b/>
        </w:rPr>
      </w:pPr>
    </w:p>
    <w:sectPr w:rsidR="00714AAA" w:rsidRPr="009835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7E0" w:rsidRDefault="00B847E0" w:rsidP="00B847E0">
      <w:pPr>
        <w:spacing w:after="0" w:line="240" w:lineRule="auto"/>
      </w:pPr>
      <w:r>
        <w:separator/>
      </w:r>
    </w:p>
  </w:endnote>
  <w:endnote w:type="continuationSeparator" w:id="0">
    <w:p w:rsidR="00B847E0" w:rsidRDefault="00B847E0" w:rsidP="00B84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7E0" w:rsidRDefault="00B847E0" w:rsidP="00B847E0">
      <w:pPr>
        <w:spacing w:after="0" w:line="240" w:lineRule="auto"/>
      </w:pPr>
      <w:r>
        <w:separator/>
      </w:r>
    </w:p>
  </w:footnote>
  <w:footnote w:type="continuationSeparator" w:id="0">
    <w:p w:rsidR="00B847E0" w:rsidRDefault="00B847E0" w:rsidP="00B847E0">
      <w:pPr>
        <w:spacing w:after="0" w:line="240" w:lineRule="auto"/>
      </w:pPr>
      <w:r>
        <w:continuationSeparator/>
      </w:r>
    </w:p>
  </w:footnote>
  <w:footnote w:id="1">
    <w:p w:rsidR="00B908FB" w:rsidRPr="00EF3F92" w:rsidRDefault="00B908FB" w:rsidP="00EF3F92">
      <w:pPr>
        <w:pStyle w:val="Notedebasdepage"/>
        <w:jc w:val="both"/>
        <w:rPr>
          <w:sz w:val="16"/>
          <w:szCs w:val="16"/>
        </w:rPr>
      </w:pPr>
      <w:r w:rsidRPr="00EF3F92">
        <w:rPr>
          <w:rStyle w:val="Appelnotedebasdep"/>
          <w:sz w:val="16"/>
          <w:szCs w:val="16"/>
        </w:rPr>
        <w:footnoteRef/>
      </w:r>
      <w:r w:rsidRPr="00EF3F92">
        <w:rPr>
          <w:sz w:val="16"/>
          <w:szCs w:val="16"/>
        </w:rPr>
        <w:t xml:space="preserve"> Rapport annuel </w:t>
      </w:r>
      <w:hyperlink r:id="rId1" w:tgtFrame="_blank" w:history="1">
        <w:r w:rsidRPr="00EF3F92">
          <w:rPr>
            <w:rStyle w:val="Lienhypertexte"/>
            <w:sz w:val="16"/>
            <w:szCs w:val="16"/>
          </w:rPr>
          <w:t xml:space="preserve">Global Estimates </w:t>
        </w:r>
      </w:hyperlink>
      <w:r w:rsidRPr="00EF3F92">
        <w:rPr>
          <w:sz w:val="16"/>
          <w:szCs w:val="16"/>
        </w:rPr>
        <w:t>du Conseil norvégien pour les réfugiés.</w:t>
      </w:r>
    </w:p>
  </w:footnote>
  <w:footnote w:id="2">
    <w:p w:rsidR="00B847E0" w:rsidRPr="00EF3F92" w:rsidRDefault="00B847E0" w:rsidP="00EF3F92">
      <w:pPr>
        <w:pStyle w:val="Titre2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 w:val="0"/>
          <w:sz w:val="16"/>
          <w:szCs w:val="16"/>
        </w:rPr>
      </w:pPr>
      <w:r w:rsidRPr="00EF3F92">
        <w:rPr>
          <w:rStyle w:val="Appelnotedebasdep"/>
          <w:rFonts w:asciiTheme="minorHAnsi" w:hAnsiTheme="minorHAnsi"/>
          <w:b w:val="0"/>
          <w:sz w:val="16"/>
          <w:szCs w:val="16"/>
        </w:rPr>
        <w:footnoteRef/>
      </w:r>
      <w:r w:rsidRPr="00EF3F92">
        <w:rPr>
          <w:rFonts w:asciiTheme="minorHAnsi" w:hAnsiTheme="minorHAnsi"/>
          <w:b w:val="0"/>
          <w:sz w:val="16"/>
          <w:szCs w:val="16"/>
        </w:rPr>
        <w:t xml:space="preserve"> </w:t>
      </w:r>
      <w:r w:rsidR="00EF3F92" w:rsidRPr="00EF3F92">
        <w:rPr>
          <w:rFonts w:asciiTheme="minorHAnsi" w:hAnsiTheme="minorHAnsi"/>
          <w:b w:val="0"/>
          <w:sz w:val="16"/>
          <w:szCs w:val="16"/>
        </w:rPr>
        <w:t xml:space="preserve">Organisation pour la coopération et le développement économique, Comité d’aide au développement (2012). </w:t>
      </w:r>
      <w:r w:rsidR="00EF3F92" w:rsidRPr="00EF3F92">
        <w:rPr>
          <w:rFonts w:asciiTheme="minorHAnsi" w:hAnsiTheme="minorHAnsi"/>
          <w:b w:val="0"/>
          <w:i/>
          <w:sz w:val="16"/>
          <w:szCs w:val="16"/>
          <w:lang w:val="en-CA"/>
        </w:rPr>
        <w:t>Partnering With Civil Society : 12 Lessons from DAC Peer Reviews</w:t>
      </w:r>
      <w:r w:rsidR="00EF3F92" w:rsidRPr="00EF3F92">
        <w:rPr>
          <w:rFonts w:asciiTheme="minorHAnsi" w:hAnsiTheme="minorHAnsi"/>
          <w:b w:val="0"/>
          <w:sz w:val="16"/>
          <w:szCs w:val="16"/>
          <w:lang w:val="en-CA"/>
        </w:rPr>
        <w:t xml:space="preserve">, Paris, OCDE. </w:t>
      </w:r>
      <w:r w:rsidR="00EF3F92" w:rsidRPr="00EF3F92">
        <w:rPr>
          <w:rFonts w:asciiTheme="minorHAnsi" w:hAnsiTheme="minorHAnsi"/>
          <w:b w:val="0"/>
          <w:sz w:val="16"/>
          <w:szCs w:val="16"/>
        </w:rPr>
        <w:t xml:space="preserve">Voir aussi : Di Bella, J., Grant, A., Kindornay, S. Et Tissot, Stéphanie (2013). </w:t>
      </w:r>
      <w:r w:rsidR="00EF3F92" w:rsidRPr="00EF3F92">
        <w:rPr>
          <w:rFonts w:asciiTheme="minorHAnsi" w:hAnsiTheme="minorHAnsi" w:cs="Arial"/>
          <w:b w:val="0"/>
          <w:i/>
          <w:color w:val="0D2B43"/>
          <w:sz w:val="16"/>
          <w:szCs w:val="16"/>
        </w:rPr>
        <w:t>Cartographie des engagements du secteur privé en matière de coopération pour le développement</w:t>
      </w:r>
      <w:r w:rsidR="00EF3F92" w:rsidRPr="00EF3F92">
        <w:rPr>
          <w:rFonts w:asciiTheme="minorHAnsi" w:hAnsiTheme="minorHAnsi"/>
          <w:b w:val="0"/>
          <w:sz w:val="16"/>
          <w:szCs w:val="16"/>
        </w:rPr>
        <w:t>, Ottawa, Institut Nord-Sud, p. x et xii</w:t>
      </w:r>
      <w:r w:rsidR="00731FF8" w:rsidRPr="00EF3F92">
        <w:rPr>
          <w:rFonts w:asciiTheme="minorHAnsi" w:hAnsiTheme="minorHAnsi"/>
          <w:b w:val="0"/>
          <w:sz w:val="16"/>
          <w:szCs w:val="16"/>
        </w:rPr>
        <w:t>.</w:t>
      </w:r>
    </w:p>
  </w:footnote>
  <w:footnote w:id="3">
    <w:p w:rsidR="00EF3F92" w:rsidRPr="00EF3F92" w:rsidRDefault="00EF3F92" w:rsidP="00EF3F92">
      <w:pPr>
        <w:pStyle w:val="Notedebasdepage"/>
        <w:rPr>
          <w:sz w:val="16"/>
          <w:szCs w:val="16"/>
        </w:rPr>
      </w:pPr>
      <w:r w:rsidRPr="00EF3F92">
        <w:rPr>
          <w:rStyle w:val="Appelnotedebasdep"/>
          <w:sz w:val="16"/>
          <w:szCs w:val="16"/>
        </w:rPr>
        <w:footnoteRef/>
      </w:r>
      <w:r w:rsidRPr="00EF3F92">
        <w:rPr>
          <w:sz w:val="16"/>
          <w:szCs w:val="16"/>
        </w:rPr>
        <w:t xml:space="preserve"> Oxfam international, « À égalité! », 2014. Selon ce rapport, l</w:t>
      </w:r>
      <w:r w:rsidRPr="00EF3F92">
        <w:rPr>
          <w:rFonts w:cs="Arial"/>
          <w:sz w:val="16"/>
          <w:szCs w:val="16"/>
          <w:shd w:val="clear" w:color="auto" w:fill="FFFFFF"/>
        </w:rPr>
        <w:t>a part du patrimoine mondial détenu par les 1 % les plus riches est passée de 44 % en 2009 à 48 % l'an dernier, et qu'elle dépassera les 50 % en 2016. Présentement, 80 personnes possèdent autant que 3,5 milliards de </w:t>
      </w:r>
      <w:r w:rsidR="00731FF8" w:rsidRPr="00EF3F92">
        <w:rPr>
          <w:rFonts w:cs="Arial"/>
          <w:sz w:val="16"/>
          <w:szCs w:val="16"/>
          <w:shd w:val="clear" w:color="auto" w:fill="FFFFFF"/>
        </w:rPr>
        <w:t xml:space="preserve">personnes. </w:t>
      </w:r>
      <w:r w:rsidRPr="00EF3F92">
        <w:rPr>
          <w:sz w:val="16"/>
          <w:szCs w:val="16"/>
        </w:rPr>
        <w:t xml:space="preserve">En ligne : </w:t>
      </w:r>
      <w:hyperlink r:id="rId2" w:history="1">
        <w:r w:rsidRPr="00EF3F92">
          <w:rPr>
            <w:rStyle w:val="Lienhypertexte"/>
            <w:sz w:val="16"/>
            <w:szCs w:val="16"/>
          </w:rPr>
          <w:t>http://oxfam.qc.ca/sites/oxfam.qc.ca/files/cr-even-it-up-extreme-inequality-291014-fr.pdf</w:t>
        </w:r>
      </w:hyperlink>
      <w:r w:rsidRPr="00EF3F92">
        <w:rPr>
          <w:sz w:val="16"/>
          <w:szCs w:val="16"/>
        </w:rPr>
        <w:t xml:space="preserve"> </w:t>
      </w:r>
    </w:p>
  </w:footnote>
  <w:footnote w:id="4">
    <w:p w:rsidR="00B847E0" w:rsidRPr="00EF3F92" w:rsidRDefault="00B847E0" w:rsidP="00EF3F92">
      <w:pPr>
        <w:pStyle w:val="Notedebasdepage"/>
        <w:jc w:val="both"/>
        <w:rPr>
          <w:sz w:val="16"/>
          <w:szCs w:val="16"/>
        </w:rPr>
      </w:pPr>
      <w:r w:rsidRPr="00EF3F92">
        <w:rPr>
          <w:rStyle w:val="Appelnotedebasdep"/>
          <w:sz w:val="16"/>
          <w:szCs w:val="16"/>
        </w:rPr>
        <w:footnoteRef/>
      </w:r>
      <w:r w:rsidRPr="00EF3F92">
        <w:rPr>
          <w:sz w:val="16"/>
          <w:szCs w:val="16"/>
          <w:lang w:val="en-CA"/>
        </w:rPr>
        <w:t xml:space="preserve"> </w:t>
      </w:r>
      <w:r w:rsidR="00EF3F92" w:rsidRPr="00EF3F92">
        <w:rPr>
          <w:sz w:val="16"/>
          <w:szCs w:val="16"/>
          <w:lang w:val="en-CA"/>
        </w:rPr>
        <w:t xml:space="preserve">Hildyard N., « Public-Private Partnerships, Financial Extraction and the Growing Wealth Gap », 2014, p.11. </w:t>
      </w:r>
      <w:r w:rsidR="00EF3F92" w:rsidRPr="00EF3F92">
        <w:rPr>
          <w:sz w:val="16"/>
          <w:szCs w:val="16"/>
        </w:rPr>
        <w:t xml:space="preserve">En ligne : Corner House : </w:t>
      </w:r>
      <w:hyperlink r:id="rId3" w:history="1">
        <w:r w:rsidR="00EF3F92" w:rsidRPr="00EF3F92">
          <w:rPr>
            <w:rStyle w:val="Lienhypertexte"/>
            <w:sz w:val="16"/>
            <w:szCs w:val="16"/>
          </w:rPr>
          <w:t>http://www.thecornerhouse.org.uk/resource/PPPs-extraction-wealth-gap</w:t>
        </w:r>
      </w:hyperlink>
      <w:r w:rsidR="00EF3F92" w:rsidRPr="00EF3F92">
        <w:rPr>
          <w:sz w:val="16"/>
          <w:szCs w:val="16"/>
        </w:rPr>
        <w:t xml:space="preserve">  Dans le cas des PPP, l’auteur parle d’un accès amélioré pour les personnes à faible revenu dans seulement environ </w:t>
      </w:r>
      <w:r w:rsidR="002B71A4">
        <w:rPr>
          <w:sz w:val="16"/>
          <w:szCs w:val="16"/>
        </w:rPr>
        <w:t>10 </w:t>
      </w:r>
      <w:r w:rsidR="00EF3F92" w:rsidRPr="00EF3F92">
        <w:rPr>
          <w:sz w:val="16"/>
          <w:szCs w:val="16"/>
        </w:rPr>
        <w:t xml:space="preserve">% des cas. </w:t>
      </w:r>
    </w:p>
  </w:footnote>
  <w:footnote w:id="5">
    <w:p w:rsidR="00EF3F92" w:rsidRPr="00EF3F92" w:rsidRDefault="00EF3F92" w:rsidP="00EF3F92">
      <w:pPr>
        <w:pStyle w:val="Notedebasdepage"/>
        <w:jc w:val="both"/>
        <w:rPr>
          <w:sz w:val="16"/>
          <w:szCs w:val="16"/>
          <w:lang w:val="en-CA"/>
        </w:rPr>
      </w:pPr>
      <w:r w:rsidRPr="00EF3F92">
        <w:rPr>
          <w:rStyle w:val="Appelnotedebasdep"/>
          <w:sz w:val="16"/>
          <w:szCs w:val="16"/>
        </w:rPr>
        <w:footnoteRef/>
      </w:r>
      <w:r w:rsidRPr="00EF3F92">
        <w:rPr>
          <w:sz w:val="16"/>
          <w:szCs w:val="16"/>
          <w:lang w:val="en-CA"/>
        </w:rPr>
        <w:t xml:space="preserve"> Paul L. Quintos, « The Post-2015 Corporate Development Agenda: Expanding Corporate Power in the Name of Sustainable Development », p. 10-11.</w:t>
      </w:r>
    </w:p>
  </w:footnote>
  <w:footnote w:id="6">
    <w:p w:rsidR="00EF3F92" w:rsidRPr="00EF3F92" w:rsidRDefault="00EF3F92" w:rsidP="00EF3F92">
      <w:pPr>
        <w:pStyle w:val="Notedebasdepage"/>
        <w:jc w:val="both"/>
        <w:rPr>
          <w:sz w:val="16"/>
          <w:szCs w:val="16"/>
          <w:lang w:val="en-CA"/>
        </w:rPr>
      </w:pPr>
      <w:r w:rsidRPr="00EF3F92">
        <w:rPr>
          <w:rStyle w:val="Appelnotedebasdep"/>
          <w:sz w:val="16"/>
          <w:szCs w:val="16"/>
        </w:rPr>
        <w:footnoteRef/>
      </w:r>
      <w:r w:rsidRPr="00EF3F92">
        <w:rPr>
          <w:sz w:val="16"/>
          <w:szCs w:val="16"/>
        </w:rPr>
        <w:t xml:space="preserve"> </w:t>
      </w:r>
      <w:proofErr w:type="gramStart"/>
      <w:r w:rsidRPr="00EF3F92">
        <w:rPr>
          <w:i/>
          <w:sz w:val="16"/>
          <w:szCs w:val="16"/>
          <w:lang w:val="en-CA"/>
        </w:rPr>
        <w:t>Idem</w:t>
      </w:r>
      <w:r w:rsidRPr="00EF3F92">
        <w:rPr>
          <w:sz w:val="16"/>
          <w:szCs w:val="16"/>
          <w:lang w:val="en-CA"/>
        </w:rPr>
        <w:t xml:space="preserve"> p. 4.</w:t>
      </w:r>
      <w:proofErr w:type="gramEnd"/>
      <w:r w:rsidRPr="00EF3F92">
        <w:rPr>
          <w:sz w:val="16"/>
          <w:szCs w:val="16"/>
          <w:lang w:val="en-CA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06995"/>
    <w:multiLevelType w:val="hybridMultilevel"/>
    <w:tmpl w:val="C8E47384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D328A"/>
    <w:multiLevelType w:val="hybridMultilevel"/>
    <w:tmpl w:val="DC961044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AA"/>
    <w:rsid w:val="000058D3"/>
    <w:rsid w:val="000432DA"/>
    <w:rsid w:val="000A1FB9"/>
    <w:rsid w:val="002625CD"/>
    <w:rsid w:val="0029755E"/>
    <w:rsid w:val="002B71A4"/>
    <w:rsid w:val="002D7FCD"/>
    <w:rsid w:val="002F2E4E"/>
    <w:rsid w:val="00315940"/>
    <w:rsid w:val="0033014D"/>
    <w:rsid w:val="004B70C4"/>
    <w:rsid w:val="005065BB"/>
    <w:rsid w:val="00552B56"/>
    <w:rsid w:val="005721FC"/>
    <w:rsid w:val="00605C5F"/>
    <w:rsid w:val="006632C0"/>
    <w:rsid w:val="00714AAA"/>
    <w:rsid w:val="00727C8D"/>
    <w:rsid w:val="00731FF8"/>
    <w:rsid w:val="00752C61"/>
    <w:rsid w:val="00813B27"/>
    <w:rsid w:val="008607B0"/>
    <w:rsid w:val="00865C17"/>
    <w:rsid w:val="0086763B"/>
    <w:rsid w:val="0089153B"/>
    <w:rsid w:val="0090015A"/>
    <w:rsid w:val="00946C70"/>
    <w:rsid w:val="009646DB"/>
    <w:rsid w:val="00982C6A"/>
    <w:rsid w:val="00983510"/>
    <w:rsid w:val="0099767B"/>
    <w:rsid w:val="00A16855"/>
    <w:rsid w:val="00A26ACB"/>
    <w:rsid w:val="00A34A37"/>
    <w:rsid w:val="00A61133"/>
    <w:rsid w:val="00A66137"/>
    <w:rsid w:val="00AB2A92"/>
    <w:rsid w:val="00B42581"/>
    <w:rsid w:val="00B847E0"/>
    <w:rsid w:val="00B908FB"/>
    <w:rsid w:val="00C40E87"/>
    <w:rsid w:val="00C509AD"/>
    <w:rsid w:val="00C62B88"/>
    <w:rsid w:val="00CC0EFC"/>
    <w:rsid w:val="00CE23A2"/>
    <w:rsid w:val="00D9250D"/>
    <w:rsid w:val="00D93CA5"/>
    <w:rsid w:val="00E12B7F"/>
    <w:rsid w:val="00E67B9E"/>
    <w:rsid w:val="00E72B6F"/>
    <w:rsid w:val="00EB0ED3"/>
    <w:rsid w:val="00EB52F6"/>
    <w:rsid w:val="00EE5AF5"/>
    <w:rsid w:val="00EF3F92"/>
    <w:rsid w:val="00F100D8"/>
    <w:rsid w:val="00F3641D"/>
    <w:rsid w:val="00F4096E"/>
    <w:rsid w:val="00F47188"/>
    <w:rsid w:val="00F70C63"/>
    <w:rsid w:val="00F9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F3F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4AAA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B847E0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847E0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847E0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847E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847E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847E0"/>
    <w:rPr>
      <w:vertAlign w:val="superscript"/>
    </w:rPr>
  </w:style>
  <w:style w:type="character" w:styleId="Lienhypertexte">
    <w:name w:val="Hyperlink"/>
    <w:unhideWhenUsed/>
    <w:rsid w:val="00B908FB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F3F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F3F9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F3F9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3F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3F9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3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F92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EF3F92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2B71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71A4"/>
  </w:style>
  <w:style w:type="paragraph" w:styleId="Pieddepage">
    <w:name w:val="footer"/>
    <w:basedOn w:val="Normal"/>
    <w:link w:val="PieddepageCar"/>
    <w:uiPriority w:val="99"/>
    <w:unhideWhenUsed/>
    <w:rsid w:val="002B71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71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F3F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4AAA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B847E0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847E0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847E0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847E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847E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847E0"/>
    <w:rPr>
      <w:vertAlign w:val="superscript"/>
    </w:rPr>
  </w:style>
  <w:style w:type="character" w:styleId="Lienhypertexte">
    <w:name w:val="Hyperlink"/>
    <w:unhideWhenUsed/>
    <w:rsid w:val="00B908FB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F3F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F3F9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F3F9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3F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3F9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3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F92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EF3F92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2B71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71A4"/>
  </w:style>
  <w:style w:type="paragraph" w:styleId="Pieddepage">
    <w:name w:val="footer"/>
    <w:basedOn w:val="Normal"/>
    <w:link w:val="PieddepageCar"/>
    <w:uiPriority w:val="99"/>
    <w:unhideWhenUsed/>
    <w:rsid w:val="002B71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7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hecornerhouse.org.uk/resource/PPPs-extraction-wealth-gap" TargetMode="External"/><Relationship Id="rId2" Type="http://schemas.openxmlformats.org/officeDocument/2006/relationships/hyperlink" Target="http://oxfam.qc.ca/sites/oxfam.qc.ca/files/cr-even-it-up-extreme-inequality-291014-fr.pdf" TargetMode="External"/><Relationship Id="rId1" Type="http://schemas.openxmlformats.org/officeDocument/2006/relationships/hyperlink" Target="http://www.nrc.no/arch/_img/9184209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737E1-0F8F-4660-ACDB-46682359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5819</Characters>
  <Application>Microsoft Office Word</Application>
  <DocSecurity>4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analyste</dc:creator>
  <cp:lastModifiedBy>communications</cp:lastModifiedBy>
  <cp:revision>2</cp:revision>
  <dcterms:created xsi:type="dcterms:W3CDTF">2015-06-01T15:30:00Z</dcterms:created>
  <dcterms:modified xsi:type="dcterms:W3CDTF">2015-06-01T15:30:00Z</dcterms:modified>
</cp:coreProperties>
</file>