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60" w:rsidRPr="00136C60" w:rsidRDefault="002A105E" w:rsidP="00EE170D">
      <w:pPr>
        <w:spacing w:before="240"/>
        <w:jc w:val="both"/>
        <w:rPr>
          <w:rFonts w:ascii="Century Gothic" w:eastAsia="Times New Roman" w:hAnsi="Century Gothic"/>
          <w:b/>
          <w:lang w:val="fr-CA"/>
        </w:rPr>
      </w:pPr>
      <w:r>
        <w:rPr>
          <w:rFonts w:ascii="Century Gothic" w:hAnsi="Century Gothic" w:cstheme="minorHAnsi"/>
          <w:b/>
          <w:noProof/>
          <w:lang w:val="fr-CA" w:eastAsia="fr-CA"/>
        </w:rPr>
        <w:drawing>
          <wp:anchor distT="0" distB="0" distL="114300" distR="114300" simplePos="0" relativeHeight="251658240" behindDoc="0" locked="0" layoutInCell="1" allowOverlap="1" wp14:anchorId="0761D531" wp14:editId="4F3C7784">
            <wp:simplePos x="0" y="0"/>
            <wp:positionH relativeFrom="margin">
              <wp:posOffset>87630</wp:posOffset>
            </wp:positionH>
            <wp:positionV relativeFrom="margin">
              <wp:posOffset>57150</wp:posOffset>
            </wp:positionV>
            <wp:extent cx="1922145" cy="93345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ogo web 2.png"/>
                    <pic:cNvPicPr/>
                  </pic:nvPicPr>
                  <pic:blipFill>
                    <a:blip r:embed="rId7">
                      <a:extLst>
                        <a:ext uri="{28A0092B-C50C-407E-A947-70E740481C1C}">
                          <a14:useLocalDpi xmlns:a14="http://schemas.microsoft.com/office/drawing/2010/main" val="0"/>
                        </a:ext>
                      </a:extLst>
                    </a:blip>
                    <a:stretch>
                      <a:fillRect/>
                    </a:stretch>
                  </pic:blipFill>
                  <pic:spPr>
                    <a:xfrm>
                      <a:off x="0" y="0"/>
                      <a:ext cx="1922145" cy="933450"/>
                    </a:xfrm>
                    <a:prstGeom prst="rect">
                      <a:avLst/>
                    </a:prstGeom>
                  </pic:spPr>
                </pic:pic>
              </a:graphicData>
            </a:graphic>
          </wp:anchor>
        </w:drawing>
      </w:r>
    </w:p>
    <w:p w:rsidR="002A105E" w:rsidRDefault="002A105E" w:rsidP="00EE170D">
      <w:pPr>
        <w:spacing w:before="240"/>
        <w:jc w:val="both"/>
        <w:rPr>
          <w:rFonts w:ascii="Century Gothic" w:hAnsi="Century Gothic" w:cstheme="minorHAnsi"/>
          <w:b/>
          <w:lang w:val="fr-CA"/>
        </w:rPr>
      </w:pPr>
    </w:p>
    <w:p w:rsidR="00136C60" w:rsidRPr="00136C60" w:rsidRDefault="00136C60" w:rsidP="00EE170D">
      <w:pPr>
        <w:spacing w:before="240" w:after="0" w:line="240" w:lineRule="auto"/>
        <w:jc w:val="right"/>
        <w:rPr>
          <w:rFonts w:ascii="Century Gothic" w:hAnsi="Century Gothic" w:cstheme="minorHAnsi"/>
          <w:lang w:val="fr-CA"/>
        </w:rPr>
      </w:pPr>
      <w:r w:rsidRPr="00136C60">
        <w:rPr>
          <w:rFonts w:ascii="Century Gothic" w:hAnsi="Century Gothic" w:cstheme="minorHAnsi"/>
          <w:b/>
          <w:lang w:val="fr-CA"/>
        </w:rPr>
        <w:t>COMMUNIQUÉ DE PRESSE</w:t>
      </w:r>
    </w:p>
    <w:p w:rsidR="00136C60" w:rsidRPr="00136C60" w:rsidRDefault="00136C60" w:rsidP="00EE170D">
      <w:pPr>
        <w:spacing w:before="240" w:after="0" w:line="240" w:lineRule="auto"/>
        <w:jc w:val="right"/>
        <w:rPr>
          <w:rFonts w:ascii="Century Gothic" w:eastAsia="Times New Roman" w:hAnsi="Century Gothic"/>
          <w:b/>
          <w:lang w:val="fr-CA"/>
        </w:rPr>
      </w:pPr>
      <w:r w:rsidRPr="00136C60">
        <w:rPr>
          <w:rFonts w:ascii="Century Gothic" w:hAnsi="Century Gothic" w:cstheme="minorHAnsi"/>
          <w:lang w:val="fr-CA"/>
        </w:rPr>
        <w:t>Pour diffusion immédiate</w:t>
      </w:r>
    </w:p>
    <w:p w:rsidR="00136C60" w:rsidRPr="00136C60" w:rsidRDefault="00136C60" w:rsidP="00EE170D">
      <w:pPr>
        <w:spacing w:before="240" w:after="0" w:line="240" w:lineRule="auto"/>
        <w:jc w:val="both"/>
        <w:rPr>
          <w:rFonts w:ascii="Century Gothic" w:eastAsia="Times New Roman" w:hAnsi="Century Gothic"/>
          <w:b/>
          <w:lang w:val="fr-CA"/>
        </w:rPr>
      </w:pPr>
    </w:p>
    <w:p w:rsidR="00136C60" w:rsidRDefault="00136C60" w:rsidP="00EE170D">
      <w:pPr>
        <w:spacing w:before="240" w:after="0" w:line="240" w:lineRule="auto"/>
        <w:jc w:val="center"/>
        <w:rPr>
          <w:rFonts w:ascii="Century Gothic" w:eastAsia="Times New Roman" w:hAnsi="Century Gothic"/>
          <w:b/>
          <w:lang w:val="fr-CA"/>
        </w:rPr>
      </w:pPr>
      <w:r w:rsidRPr="00136C60">
        <w:rPr>
          <w:rFonts w:ascii="Century Gothic" w:eastAsia="Times New Roman" w:hAnsi="Century Gothic"/>
          <w:b/>
          <w:lang w:val="fr-CA"/>
        </w:rPr>
        <w:t>Pour un changement de la stratégie d’engagement du Canada en Haïti</w:t>
      </w:r>
    </w:p>
    <w:p w:rsidR="00CB14AF" w:rsidRDefault="00CB14AF" w:rsidP="00EE170D">
      <w:pPr>
        <w:spacing w:before="240" w:after="0" w:line="240" w:lineRule="auto"/>
        <w:jc w:val="both"/>
        <w:rPr>
          <w:rFonts w:ascii="Century Gothic" w:hAnsi="Century Gothic"/>
          <w:b/>
          <w:lang w:val="fr-CA"/>
        </w:rPr>
      </w:pPr>
    </w:p>
    <w:p w:rsidR="00136C60" w:rsidRPr="00136C60" w:rsidRDefault="00136C60" w:rsidP="00EE170D">
      <w:pPr>
        <w:spacing w:before="240" w:after="0" w:line="240" w:lineRule="auto"/>
        <w:jc w:val="both"/>
        <w:rPr>
          <w:rFonts w:ascii="Century Gothic" w:hAnsi="Century Gothic"/>
          <w:lang w:val="fr-CA"/>
        </w:rPr>
      </w:pPr>
      <w:r w:rsidRPr="00136C60">
        <w:rPr>
          <w:rFonts w:ascii="Century Gothic" w:hAnsi="Century Gothic"/>
          <w:b/>
          <w:lang w:val="fr-CA"/>
        </w:rPr>
        <w:t>Montréal, le 7 janvier 2016</w:t>
      </w:r>
      <w:r w:rsidRPr="00136C60">
        <w:rPr>
          <w:rFonts w:ascii="Century Gothic" w:hAnsi="Century Gothic"/>
          <w:lang w:val="fr-CA"/>
        </w:rPr>
        <w:t xml:space="preserve"> - À la veille du sixième anniversaire du séisme qui a secoué Haïti en 2010, la Concertation pour Haïti (CPH) demande au Gouvernement canadien de modifier la stratégie quinquennale d’engagement en Haïti adoptée par le régime conservateur en juin 2015.</w:t>
      </w:r>
    </w:p>
    <w:p w:rsidR="00136C60" w:rsidRPr="00136C60" w:rsidRDefault="00136C60" w:rsidP="00EE170D">
      <w:pPr>
        <w:spacing w:before="240" w:after="0" w:line="240" w:lineRule="auto"/>
        <w:jc w:val="both"/>
        <w:rPr>
          <w:rFonts w:ascii="Century Gothic" w:eastAsia="Times New Roman" w:hAnsi="Century Gothic"/>
          <w:lang w:val="fr-FR"/>
        </w:rPr>
      </w:pPr>
      <w:r w:rsidRPr="00136C60">
        <w:rPr>
          <w:rFonts w:ascii="Century Gothic" w:hAnsi="Century Gothic"/>
          <w:lang w:val="fr-CA"/>
        </w:rPr>
        <w:t xml:space="preserve"> « C’est une erreur de placer </w:t>
      </w:r>
      <w:r w:rsidRPr="00136C60">
        <w:rPr>
          <w:rFonts w:ascii="Century Gothic" w:eastAsia="Times New Roman" w:hAnsi="Century Gothic"/>
          <w:lang w:val="fr-FR" w:eastAsia="fr-FR"/>
        </w:rPr>
        <w:t xml:space="preserve">l’industrie minière au centre de la reconstruction et du développement en Haïti » selon Gerardo Ducos, de la Concertation pour Haïti, lors du lancement d’un rapport intitulé </w:t>
      </w:r>
      <w:r w:rsidRPr="00136C60">
        <w:rPr>
          <w:rFonts w:ascii="Century Gothic" w:hAnsi="Century Gothic"/>
          <w:i/>
          <w:lang w:val="fr-CA"/>
        </w:rPr>
        <w:t xml:space="preserve">L’industrie minière en Haïti: </w:t>
      </w:r>
      <w:r w:rsidR="00EE170D">
        <w:rPr>
          <w:rFonts w:ascii="Century Gothic" w:hAnsi="Century Gothic"/>
          <w:i/>
          <w:lang w:val="fr-CA"/>
        </w:rPr>
        <w:t>Enjeux</w:t>
      </w:r>
      <w:r w:rsidRPr="00136C60">
        <w:rPr>
          <w:rFonts w:ascii="Century Gothic" w:hAnsi="Century Gothic"/>
          <w:i/>
          <w:lang w:val="fr-CA"/>
        </w:rPr>
        <w:t xml:space="preserve"> et réalité</w:t>
      </w:r>
      <w:r w:rsidR="00EE170D">
        <w:rPr>
          <w:rFonts w:ascii="Century Gothic" w:hAnsi="Century Gothic"/>
          <w:i/>
          <w:lang w:val="fr-CA"/>
        </w:rPr>
        <w:t>s</w:t>
      </w:r>
      <w:r w:rsidRPr="00136C60">
        <w:rPr>
          <w:rFonts w:ascii="Century Gothic" w:hAnsi="Century Gothic"/>
          <w:lang w:val="fr-CA"/>
        </w:rPr>
        <w:t xml:space="preserve">. </w:t>
      </w:r>
      <w:r w:rsidRPr="00136C60">
        <w:rPr>
          <w:rStyle w:val="hps"/>
          <w:rFonts w:ascii="Century Gothic" w:eastAsia="Times New Roman" w:hAnsi="Century Gothic"/>
          <w:lang w:val="fr-CA"/>
        </w:rPr>
        <w:t>« </w:t>
      </w:r>
      <w:r w:rsidRPr="00136C60">
        <w:rPr>
          <w:rFonts w:ascii="Century Gothic" w:eastAsia="Times New Roman" w:hAnsi="Century Gothic"/>
          <w:lang w:val="fr-FR"/>
        </w:rPr>
        <w:t xml:space="preserve">Nous demandons au </w:t>
      </w:r>
      <w:r w:rsidRPr="00136C60">
        <w:rPr>
          <w:rStyle w:val="hps"/>
          <w:rFonts w:ascii="Century Gothic" w:eastAsia="Times New Roman" w:hAnsi="Century Gothic"/>
          <w:lang w:val="fr-FR"/>
        </w:rPr>
        <w:t>nouveau gouvernement libéral</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de changer de cap</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Haïti est l'un</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des États les plus</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fragiles du monde</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et</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n'a pas la capacité</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de gouvernance nécessaire pour que</w:t>
      </w:r>
      <w:r w:rsidRPr="00136C60">
        <w:rPr>
          <w:rFonts w:ascii="Century Gothic" w:eastAsia="Times New Roman" w:hAnsi="Century Gothic"/>
          <w:lang w:val="fr-FR"/>
        </w:rPr>
        <w:t xml:space="preserve"> </w:t>
      </w:r>
      <w:r w:rsidRPr="00136C60">
        <w:rPr>
          <w:rStyle w:val="hps"/>
          <w:rFonts w:ascii="Century Gothic" w:eastAsia="Times New Roman" w:hAnsi="Century Gothic"/>
          <w:lang w:val="fr-FR"/>
        </w:rPr>
        <w:t>l'industrie minière</w:t>
      </w:r>
      <w:r w:rsidRPr="00136C60">
        <w:rPr>
          <w:rFonts w:ascii="Century Gothic" w:eastAsia="Times New Roman" w:hAnsi="Century Gothic"/>
          <w:lang w:val="fr-FR"/>
        </w:rPr>
        <w:t xml:space="preserve"> permette à ce pays de briser le cycle de la pauvreté ». </w:t>
      </w:r>
    </w:p>
    <w:p w:rsidR="00136C60" w:rsidRPr="00136C60" w:rsidRDefault="00136C60" w:rsidP="00EE170D">
      <w:pPr>
        <w:spacing w:before="240" w:after="0" w:line="240" w:lineRule="auto"/>
        <w:jc w:val="both"/>
        <w:rPr>
          <w:rFonts w:ascii="Century Gothic" w:eastAsia="Times New Roman" w:hAnsi="Century Gothic"/>
          <w:lang w:val="fr-CA" w:eastAsia="fr-FR"/>
        </w:rPr>
      </w:pPr>
      <w:r w:rsidRPr="00136C60">
        <w:rPr>
          <w:rStyle w:val="hps"/>
          <w:rFonts w:ascii="Century Gothic" w:eastAsia="Times New Roman" w:hAnsi="Century Gothic"/>
          <w:lang w:val="fr-FR"/>
        </w:rPr>
        <w:t>Dans le rapport sur l’industrie minière naissante en Haïti, dans laquelle des compagnies canadiennes sont impliquées, la CPH attire l’attention sur quelques points d’intérêt du  projet de loi à l’étude :  il place les intérêts des compagnies avant ceux de l’État et de la population ; il n’établit pas un régime de royautés garantissant des bénéfices équitables pour Haïti; les clauses environnementales sont trop faibles ; les dispositions assurant un consentement libre, préalable et éclairé des communautés qui seront affectées et déplacées sont absentes ;  il ne prévoit pas de débat public sur l’utilisation des revenus pour le développement d’Haïti.</w:t>
      </w:r>
    </w:p>
    <w:p w:rsidR="00136C60" w:rsidRPr="00136C60" w:rsidRDefault="00136C60" w:rsidP="00EE170D">
      <w:pPr>
        <w:pStyle w:val="ecxmsonormal"/>
        <w:spacing w:before="240" w:beforeAutospacing="0" w:after="0" w:afterAutospacing="0"/>
        <w:jc w:val="both"/>
        <w:rPr>
          <w:rFonts w:ascii="Century Gothic" w:hAnsi="Century Gothic"/>
          <w:sz w:val="22"/>
          <w:szCs w:val="22"/>
        </w:rPr>
      </w:pPr>
      <w:r w:rsidRPr="00136C60">
        <w:rPr>
          <w:rFonts w:ascii="Century Gothic" w:hAnsi="Century Gothic"/>
          <w:sz w:val="22"/>
          <w:szCs w:val="22"/>
        </w:rPr>
        <w:t>La CPH demande également au gouvernement canadien de mettre sur pied un système effectif de reddition de comptes pour les sociétés minières canadiennes opérant à l’étranger.</w:t>
      </w:r>
    </w:p>
    <w:p w:rsidR="00136C60" w:rsidRPr="00136C60" w:rsidRDefault="00136C60" w:rsidP="00EE170D">
      <w:pPr>
        <w:spacing w:before="240" w:after="0" w:line="240" w:lineRule="auto"/>
        <w:jc w:val="both"/>
        <w:rPr>
          <w:rFonts w:ascii="Century Gothic" w:hAnsi="Century Gothic"/>
          <w:lang w:val="fr-CA"/>
        </w:rPr>
      </w:pPr>
      <w:r w:rsidRPr="00136C60">
        <w:rPr>
          <w:rFonts w:ascii="Century Gothic" w:hAnsi="Century Gothic"/>
          <w:lang w:val="fr-CA"/>
        </w:rPr>
        <w:t xml:space="preserve">Pour Nixon Boumba, présent en vidéoconférence, “ces projets miniers risquent de polluer nos terres, assécher nos réserves d’eau et accroître la corruption. Tout cela contre quelques emplois à court terme. Dans ces conditions, il serait préférable que les communautés continuent à exploiter ces terres pour produire de la nourriture”. </w:t>
      </w:r>
    </w:p>
    <w:p w:rsidR="00136C60" w:rsidRPr="00136C60" w:rsidRDefault="00136C60" w:rsidP="00EE170D">
      <w:pPr>
        <w:spacing w:before="240" w:after="0" w:line="240" w:lineRule="auto"/>
        <w:jc w:val="both"/>
        <w:rPr>
          <w:rFonts w:ascii="Century Gothic" w:hAnsi="Century Gothic"/>
          <w:lang w:val="fr-CA"/>
        </w:rPr>
      </w:pPr>
      <w:r w:rsidRPr="00136C60">
        <w:rPr>
          <w:rFonts w:ascii="Century Gothic" w:hAnsi="Century Gothic"/>
          <w:lang w:val="fr-CA"/>
        </w:rPr>
        <w:t>M. Nixon Boumba est coordonnateur du Collectif Justice Mines,  un regroupement de six organisations haïtiennes qui suivent de près ce dossier sur le terrain. Le Collectif Justice Mines a demandé au Gouvernement haïtien d’adopter un moratoire sur cette question.</w:t>
      </w:r>
    </w:p>
    <w:p w:rsidR="00CB14AF" w:rsidRDefault="00CB14AF" w:rsidP="00EE170D">
      <w:pPr>
        <w:spacing w:before="240" w:after="0" w:line="240" w:lineRule="auto"/>
        <w:jc w:val="both"/>
        <w:rPr>
          <w:rFonts w:ascii="Century Gothic" w:hAnsi="Century Gothic"/>
          <w:lang w:val="fr-CA"/>
        </w:rPr>
      </w:pPr>
    </w:p>
    <w:p w:rsidR="00136C60" w:rsidRPr="00136C60" w:rsidRDefault="00136C60" w:rsidP="00EE170D">
      <w:pPr>
        <w:spacing w:before="240" w:after="0" w:line="240" w:lineRule="auto"/>
        <w:jc w:val="both"/>
        <w:rPr>
          <w:rFonts w:ascii="Century Gothic" w:hAnsi="Century Gothic"/>
          <w:lang w:val="fr-CA"/>
        </w:rPr>
      </w:pPr>
      <w:r w:rsidRPr="00136C60">
        <w:rPr>
          <w:rFonts w:ascii="Century Gothic" w:hAnsi="Century Gothic"/>
          <w:lang w:val="fr-CA"/>
        </w:rPr>
        <w:t>Pour Andréanne Martel du Centre interdisciplinaire de recherche en développement international et société (CIRDIS), « il ne manque pas d’exemples de projets de développement minier contemporain qui ont fragilisé, plutôt qu’appuyé, les efforts locaux de développement. Les relations de pouvoir, très souvent fort asymétriques entre les compagnies minières, les autorités locales et les communautés affectées, ont pour effet de réduire le rôle de ces dernières dans la gestion et le suivi de la mise en valeur des ressources et du territoire ».</w:t>
      </w:r>
    </w:p>
    <w:p w:rsidR="003E7050" w:rsidRDefault="00136C60" w:rsidP="003E7050">
      <w:pPr>
        <w:spacing w:before="240" w:after="0" w:line="240" w:lineRule="auto"/>
        <w:jc w:val="both"/>
        <w:rPr>
          <w:rFonts w:ascii="Century Gothic" w:hAnsi="Century Gothic"/>
          <w:lang w:val="fr-CA"/>
        </w:rPr>
      </w:pPr>
      <w:r w:rsidRPr="00136C60">
        <w:rPr>
          <w:rFonts w:ascii="Century Gothic" w:hAnsi="Century Gothic"/>
          <w:lang w:val="fr-CA"/>
        </w:rPr>
        <w:t>La Concertation pour Haïti demande au Gouvernement canadien de continuer son engagement dans le processus de reconstruction d’Haïti en accordant la priorité à d’autres secteurs que le développement minier, tels que l’agriculture et la production alimentaire, l’éducation, l’économie sociale et le tourisme équitable, afin de contribuer à relancer l’économie sur des bases plus diversifiées, durables et pour le bien du plus grand nombre.</w:t>
      </w:r>
    </w:p>
    <w:p w:rsidR="003E7050" w:rsidRDefault="003E7050" w:rsidP="003E7050">
      <w:pPr>
        <w:spacing w:before="240" w:after="0" w:line="240" w:lineRule="auto"/>
        <w:jc w:val="both"/>
        <w:rPr>
          <w:rFonts w:ascii="Century Gothic" w:hAnsi="Century Gothic"/>
          <w:lang w:val="fr-CA"/>
        </w:rPr>
      </w:pPr>
    </w:p>
    <w:p w:rsidR="000E2F69" w:rsidRPr="00136C60" w:rsidRDefault="00136C60" w:rsidP="003E7050">
      <w:pPr>
        <w:spacing w:before="240" w:after="0" w:line="240" w:lineRule="auto"/>
        <w:jc w:val="center"/>
        <w:rPr>
          <w:rFonts w:ascii="Century Gothic" w:hAnsi="Century Gothic"/>
          <w:lang w:val="fr-CA"/>
        </w:rPr>
      </w:pPr>
      <w:bookmarkStart w:id="0" w:name="_GoBack"/>
      <w:bookmarkEnd w:id="0"/>
      <w:r w:rsidRPr="00136C60">
        <w:rPr>
          <w:rFonts w:ascii="Century Gothic" w:hAnsi="Century Gothic"/>
          <w:lang w:val="fr-CA"/>
        </w:rPr>
        <w:t>-30-</w:t>
      </w:r>
    </w:p>
    <w:p w:rsidR="00136C60" w:rsidRPr="00136C60" w:rsidRDefault="00136C60" w:rsidP="00EE170D">
      <w:pPr>
        <w:spacing w:before="240" w:after="0" w:line="240" w:lineRule="auto"/>
        <w:jc w:val="both"/>
        <w:rPr>
          <w:rFonts w:ascii="Century Gothic" w:hAnsi="Century Gothic"/>
          <w:lang w:val="fr-CA"/>
        </w:rPr>
      </w:pPr>
    </w:p>
    <w:p w:rsidR="00136C60" w:rsidRPr="00136C60" w:rsidRDefault="00136C60" w:rsidP="00EE170D">
      <w:pPr>
        <w:spacing w:before="240" w:after="0" w:line="240" w:lineRule="auto"/>
        <w:jc w:val="both"/>
        <w:rPr>
          <w:rFonts w:ascii="Century Gothic" w:hAnsi="Century Gothic"/>
          <w:lang w:val="fr-CA"/>
        </w:rPr>
      </w:pPr>
      <w:r w:rsidRPr="00136C60">
        <w:rPr>
          <w:rFonts w:ascii="Century Gothic" w:hAnsi="Century Gothic"/>
          <w:b/>
          <w:lang w:val="fr-CA"/>
        </w:rPr>
        <w:t xml:space="preserve">Contact : </w:t>
      </w:r>
    </w:p>
    <w:p w:rsidR="003E7050" w:rsidRPr="003E7050" w:rsidRDefault="003E7050" w:rsidP="00EE170D">
      <w:pPr>
        <w:spacing w:after="0" w:line="240" w:lineRule="auto"/>
        <w:jc w:val="both"/>
        <w:rPr>
          <w:rFonts w:ascii="Century Gothic" w:hAnsi="Century Gothic"/>
          <w:sz w:val="16"/>
          <w:szCs w:val="16"/>
          <w:lang w:val="fr-CA"/>
        </w:rPr>
      </w:pPr>
    </w:p>
    <w:p w:rsidR="00136C60" w:rsidRPr="00136C60" w:rsidRDefault="00136C60" w:rsidP="00EE170D">
      <w:pPr>
        <w:spacing w:after="0" w:line="240" w:lineRule="auto"/>
        <w:jc w:val="both"/>
        <w:rPr>
          <w:rFonts w:ascii="Century Gothic" w:hAnsi="Century Gothic"/>
          <w:lang w:val="fr-CA"/>
        </w:rPr>
      </w:pPr>
      <w:r w:rsidRPr="00136C60">
        <w:rPr>
          <w:rFonts w:ascii="Century Gothic" w:hAnsi="Century Gothic"/>
          <w:lang w:val="fr-CA"/>
        </w:rPr>
        <w:t>Hélène Gobeil</w:t>
      </w:r>
    </w:p>
    <w:p w:rsidR="00136C60" w:rsidRPr="00136C60" w:rsidRDefault="00136C60" w:rsidP="00EE170D">
      <w:pPr>
        <w:spacing w:after="0" w:line="240" w:lineRule="auto"/>
        <w:jc w:val="both"/>
        <w:rPr>
          <w:rFonts w:ascii="Century Gothic" w:hAnsi="Century Gothic"/>
          <w:lang w:val="fr-CA"/>
        </w:rPr>
      </w:pPr>
      <w:r w:rsidRPr="00136C60">
        <w:rPr>
          <w:rFonts w:ascii="Century Gothic" w:hAnsi="Century Gothic"/>
          <w:lang w:val="fr-CA"/>
        </w:rPr>
        <w:t>Association québécoise des organismes de coopération internationale (AQOCI)</w:t>
      </w:r>
    </w:p>
    <w:p w:rsidR="00136C60" w:rsidRPr="00136C60" w:rsidRDefault="00136C60" w:rsidP="00EE170D">
      <w:pPr>
        <w:spacing w:after="0" w:line="240" w:lineRule="auto"/>
        <w:jc w:val="both"/>
        <w:rPr>
          <w:rFonts w:ascii="Century Gothic" w:hAnsi="Century Gothic"/>
          <w:lang w:val="fr-CA"/>
        </w:rPr>
      </w:pPr>
      <w:r w:rsidRPr="00136C60">
        <w:rPr>
          <w:rFonts w:ascii="Century Gothic" w:hAnsi="Century Gothic"/>
          <w:lang w:val="fr-CA"/>
        </w:rPr>
        <w:t>514-871-1086, poste 205</w:t>
      </w:r>
    </w:p>
    <w:p w:rsidR="00136C60" w:rsidRPr="00136C60" w:rsidRDefault="00136C60" w:rsidP="00EE170D">
      <w:pPr>
        <w:spacing w:after="0" w:line="240" w:lineRule="auto"/>
        <w:jc w:val="both"/>
        <w:rPr>
          <w:rFonts w:ascii="Century Gothic" w:hAnsi="Century Gothic"/>
          <w:lang w:val="fr-CA"/>
        </w:rPr>
      </w:pPr>
      <w:proofErr w:type="spellStart"/>
      <w:proofErr w:type="gramStart"/>
      <w:r w:rsidRPr="00136C60">
        <w:rPr>
          <w:rFonts w:ascii="Century Gothic" w:hAnsi="Century Gothic"/>
          <w:lang w:val="fr-CA"/>
        </w:rPr>
        <w:t>cell</w:t>
      </w:r>
      <w:proofErr w:type="spellEnd"/>
      <w:proofErr w:type="gramEnd"/>
      <w:r w:rsidRPr="00136C60">
        <w:rPr>
          <w:rFonts w:ascii="Century Gothic" w:hAnsi="Century Gothic"/>
          <w:lang w:val="fr-CA"/>
        </w:rPr>
        <w:t>. 438 828-2965</w:t>
      </w:r>
    </w:p>
    <w:p w:rsidR="00136C60" w:rsidRPr="00136C60" w:rsidRDefault="003E7050" w:rsidP="00EE170D">
      <w:pPr>
        <w:spacing w:after="0" w:line="240" w:lineRule="auto"/>
        <w:jc w:val="both"/>
        <w:rPr>
          <w:rFonts w:ascii="Century Gothic" w:hAnsi="Century Gothic"/>
          <w:lang w:val="fr-CA"/>
        </w:rPr>
      </w:pPr>
      <w:hyperlink r:id="rId8" w:history="1">
        <w:r w:rsidR="00136C60" w:rsidRPr="00136C60">
          <w:rPr>
            <w:rStyle w:val="Lienhypertexte"/>
            <w:rFonts w:ascii="Century Gothic" w:hAnsi="Century Gothic"/>
            <w:lang w:val="fr-CA"/>
          </w:rPr>
          <w:t>communications@aqoci.qc.ca</w:t>
        </w:r>
      </w:hyperlink>
    </w:p>
    <w:sectPr w:rsidR="00136C60" w:rsidRPr="00136C60" w:rsidSect="00E531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7050">
      <w:pPr>
        <w:spacing w:after="0" w:line="240" w:lineRule="auto"/>
      </w:pPr>
      <w:r>
        <w:separator/>
      </w:r>
    </w:p>
  </w:endnote>
  <w:endnote w:type="continuationSeparator" w:id="0">
    <w:p w:rsidR="00000000" w:rsidRDefault="003E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C4" w:rsidRDefault="003E70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C4" w:rsidRDefault="003E705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C4" w:rsidRDefault="003E70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7050">
      <w:pPr>
        <w:spacing w:after="0" w:line="240" w:lineRule="auto"/>
      </w:pPr>
      <w:r>
        <w:separator/>
      </w:r>
    </w:p>
  </w:footnote>
  <w:footnote w:type="continuationSeparator" w:id="0">
    <w:p w:rsidR="00000000" w:rsidRDefault="003E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C4" w:rsidRDefault="003E705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C4" w:rsidRDefault="003E705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C4" w:rsidRDefault="003E70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60"/>
    <w:rsid w:val="00136C60"/>
    <w:rsid w:val="001E0C21"/>
    <w:rsid w:val="002A105E"/>
    <w:rsid w:val="003E7050"/>
    <w:rsid w:val="00636B8E"/>
    <w:rsid w:val="00A22B99"/>
    <w:rsid w:val="00CB14AF"/>
    <w:rsid w:val="00EE17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60"/>
    <w:pPr>
      <w:spacing w:after="160" w:line="259" w:lineRule="auto"/>
    </w:pPr>
    <w:rPr>
      <w:rFonts w:ascii="Cambria" w:eastAsia="MS Mincho" w:hAnsi="Cambria"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rsid w:val="00136C60"/>
    <w:rPr>
      <w:rFonts w:cs="Times New Roman"/>
    </w:rPr>
  </w:style>
  <w:style w:type="paragraph" w:customStyle="1" w:styleId="ecxmsonormal">
    <w:name w:val="ecxmsonormal"/>
    <w:basedOn w:val="Normal"/>
    <w:rsid w:val="00136C60"/>
    <w:pPr>
      <w:spacing w:before="100" w:beforeAutospacing="1" w:after="100" w:afterAutospacing="1" w:line="240" w:lineRule="auto"/>
    </w:pPr>
    <w:rPr>
      <w:rFonts w:ascii="Times" w:hAnsi="Times"/>
      <w:sz w:val="20"/>
      <w:szCs w:val="20"/>
      <w:lang w:val="fr-CA" w:eastAsia="fr-FR"/>
    </w:rPr>
  </w:style>
  <w:style w:type="paragraph" w:styleId="En-tte">
    <w:name w:val="header"/>
    <w:basedOn w:val="Normal"/>
    <w:link w:val="En-tteCar"/>
    <w:uiPriority w:val="99"/>
    <w:semiHidden/>
    <w:unhideWhenUsed/>
    <w:rsid w:val="00136C6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36C60"/>
    <w:rPr>
      <w:rFonts w:ascii="Cambria" w:eastAsia="MS Mincho" w:hAnsi="Cambria" w:cs="Times New Roman"/>
      <w:lang w:val="en-CA"/>
    </w:rPr>
  </w:style>
  <w:style w:type="paragraph" w:styleId="Pieddepage">
    <w:name w:val="footer"/>
    <w:basedOn w:val="Normal"/>
    <w:link w:val="PieddepageCar"/>
    <w:uiPriority w:val="99"/>
    <w:semiHidden/>
    <w:unhideWhenUsed/>
    <w:rsid w:val="00136C6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36C60"/>
    <w:rPr>
      <w:rFonts w:ascii="Cambria" w:eastAsia="MS Mincho" w:hAnsi="Cambria" w:cs="Times New Roman"/>
      <w:lang w:val="en-CA"/>
    </w:rPr>
  </w:style>
  <w:style w:type="paragraph" w:styleId="Textedebulles">
    <w:name w:val="Balloon Text"/>
    <w:basedOn w:val="Normal"/>
    <w:link w:val="TextedebullesCar"/>
    <w:uiPriority w:val="99"/>
    <w:semiHidden/>
    <w:unhideWhenUsed/>
    <w:rsid w:val="00136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C60"/>
    <w:rPr>
      <w:rFonts w:ascii="Tahoma" w:eastAsia="MS Mincho" w:hAnsi="Tahoma" w:cs="Tahoma"/>
      <w:sz w:val="16"/>
      <w:szCs w:val="16"/>
      <w:lang w:val="en-CA"/>
    </w:rPr>
  </w:style>
  <w:style w:type="character" w:styleId="Lienhypertexte">
    <w:name w:val="Hyperlink"/>
    <w:basedOn w:val="Policepardfaut"/>
    <w:rsid w:val="00136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60"/>
    <w:pPr>
      <w:spacing w:after="160" w:line="259" w:lineRule="auto"/>
    </w:pPr>
    <w:rPr>
      <w:rFonts w:ascii="Cambria" w:eastAsia="MS Mincho" w:hAnsi="Cambria"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rsid w:val="00136C60"/>
    <w:rPr>
      <w:rFonts w:cs="Times New Roman"/>
    </w:rPr>
  </w:style>
  <w:style w:type="paragraph" w:customStyle="1" w:styleId="ecxmsonormal">
    <w:name w:val="ecxmsonormal"/>
    <w:basedOn w:val="Normal"/>
    <w:rsid w:val="00136C60"/>
    <w:pPr>
      <w:spacing w:before="100" w:beforeAutospacing="1" w:after="100" w:afterAutospacing="1" w:line="240" w:lineRule="auto"/>
    </w:pPr>
    <w:rPr>
      <w:rFonts w:ascii="Times" w:hAnsi="Times"/>
      <w:sz w:val="20"/>
      <w:szCs w:val="20"/>
      <w:lang w:val="fr-CA" w:eastAsia="fr-FR"/>
    </w:rPr>
  </w:style>
  <w:style w:type="paragraph" w:styleId="En-tte">
    <w:name w:val="header"/>
    <w:basedOn w:val="Normal"/>
    <w:link w:val="En-tteCar"/>
    <w:uiPriority w:val="99"/>
    <w:semiHidden/>
    <w:unhideWhenUsed/>
    <w:rsid w:val="00136C6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36C60"/>
    <w:rPr>
      <w:rFonts w:ascii="Cambria" w:eastAsia="MS Mincho" w:hAnsi="Cambria" w:cs="Times New Roman"/>
      <w:lang w:val="en-CA"/>
    </w:rPr>
  </w:style>
  <w:style w:type="paragraph" w:styleId="Pieddepage">
    <w:name w:val="footer"/>
    <w:basedOn w:val="Normal"/>
    <w:link w:val="PieddepageCar"/>
    <w:uiPriority w:val="99"/>
    <w:semiHidden/>
    <w:unhideWhenUsed/>
    <w:rsid w:val="00136C6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36C60"/>
    <w:rPr>
      <w:rFonts w:ascii="Cambria" w:eastAsia="MS Mincho" w:hAnsi="Cambria" w:cs="Times New Roman"/>
      <w:lang w:val="en-CA"/>
    </w:rPr>
  </w:style>
  <w:style w:type="paragraph" w:styleId="Textedebulles">
    <w:name w:val="Balloon Text"/>
    <w:basedOn w:val="Normal"/>
    <w:link w:val="TextedebullesCar"/>
    <w:uiPriority w:val="99"/>
    <w:semiHidden/>
    <w:unhideWhenUsed/>
    <w:rsid w:val="00136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C60"/>
    <w:rPr>
      <w:rFonts w:ascii="Tahoma" w:eastAsia="MS Mincho" w:hAnsi="Tahoma" w:cs="Tahoma"/>
      <w:sz w:val="16"/>
      <w:szCs w:val="16"/>
      <w:lang w:val="en-CA"/>
    </w:rPr>
  </w:style>
  <w:style w:type="character" w:styleId="Lienhypertexte">
    <w:name w:val="Hyperlink"/>
    <w:basedOn w:val="Policepardfaut"/>
    <w:rsid w:val="00136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qoci.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Annick Des Granges</cp:lastModifiedBy>
  <cp:revision>5</cp:revision>
  <dcterms:created xsi:type="dcterms:W3CDTF">2016-01-06T12:53:00Z</dcterms:created>
  <dcterms:modified xsi:type="dcterms:W3CDTF">2016-01-06T16:04:00Z</dcterms:modified>
</cp:coreProperties>
</file>