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46" w:rsidRPr="00876B03" w:rsidRDefault="006A2346" w:rsidP="0017349F">
      <w:pPr>
        <w:jc w:val="center"/>
        <w:rPr>
          <w:b/>
          <w:bCs/>
          <w:lang w:val="fr-CA" w:eastAsia="en-CA"/>
        </w:rPr>
      </w:pPr>
      <w:bookmarkStart w:id="0" w:name="_GoBack"/>
      <w:bookmarkEnd w:id="0"/>
      <w:r w:rsidRPr="00876B03">
        <w:rPr>
          <w:b/>
          <w:bCs/>
          <w:lang w:val="fr-CA" w:eastAsia="en-CA"/>
        </w:rPr>
        <w:t>R</w:t>
      </w:r>
      <w:r w:rsidR="00876B03" w:rsidRPr="00876B03">
        <w:rPr>
          <w:b/>
          <w:bCs/>
          <w:lang w:val="fr-CA" w:eastAsia="en-CA"/>
        </w:rPr>
        <w:t>APPORT</w:t>
      </w:r>
      <w:r w:rsidRPr="00876B03">
        <w:rPr>
          <w:b/>
          <w:bCs/>
          <w:lang w:val="fr-CA" w:eastAsia="en-CA"/>
        </w:rPr>
        <w:t xml:space="preserve"> </w:t>
      </w:r>
    </w:p>
    <w:p w:rsidR="0017349F" w:rsidRPr="00876B03" w:rsidRDefault="00876B03" w:rsidP="0017349F">
      <w:pPr>
        <w:jc w:val="center"/>
        <w:rPr>
          <w:b/>
          <w:bCs/>
          <w:lang w:val="fr-CA" w:eastAsia="en-CA"/>
        </w:rPr>
      </w:pPr>
      <w:r>
        <w:rPr>
          <w:b/>
          <w:bCs/>
          <w:lang w:val="fr-CA" w:eastAsia="en-CA"/>
        </w:rPr>
        <w:t xml:space="preserve">Table ronde </w:t>
      </w:r>
      <w:r w:rsidRPr="00876B03">
        <w:rPr>
          <w:b/>
          <w:bCs/>
          <w:lang w:val="fr-CA" w:eastAsia="en-CA"/>
        </w:rPr>
        <w:t xml:space="preserve">sur le leadership du Canada en matière d’égalité entre les sexes et </w:t>
      </w:r>
      <w:r w:rsidR="00D12562">
        <w:rPr>
          <w:b/>
          <w:bCs/>
          <w:lang w:val="fr-CA" w:eastAsia="en-CA"/>
        </w:rPr>
        <w:br/>
      </w:r>
      <w:r w:rsidRPr="00876B03">
        <w:rPr>
          <w:b/>
          <w:bCs/>
          <w:lang w:val="fr-CA" w:eastAsia="en-CA"/>
        </w:rPr>
        <w:t>de droits des femmes et des filles</w:t>
      </w:r>
      <w:r w:rsidR="006A2346" w:rsidRPr="00876B03">
        <w:rPr>
          <w:b/>
          <w:bCs/>
          <w:lang w:val="fr-CA" w:eastAsia="en-CA"/>
        </w:rPr>
        <w:t xml:space="preserve"> </w:t>
      </w:r>
    </w:p>
    <w:p w:rsidR="0017349F" w:rsidRPr="00876B03" w:rsidRDefault="00876B03" w:rsidP="0017349F">
      <w:pPr>
        <w:jc w:val="center"/>
        <w:rPr>
          <w:b/>
          <w:bCs/>
          <w:lang w:val="fr-CA" w:eastAsia="en-CA"/>
        </w:rPr>
      </w:pPr>
      <w:r>
        <w:rPr>
          <w:b/>
          <w:bCs/>
          <w:lang w:val="fr-CA" w:eastAsia="en-CA"/>
        </w:rPr>
        <w:t xml:space="preserve">Le </w:t>
      </w:r>
      <w:r w:rsidR="006A2346" w:rsidRPr="00876B03">
        <w:rPr>
          <w:b/>
          <w:bCs/>
          <w:lang w:val="fr-CA" w:eastAsia="en-CA"/>
        </w:rPr>
        <w:t xml:space="preserve">10 </w:t>
      </w:r>
      <w:r>
        <w:rPr>
          <w:b/>
          <w:bCs/>
          <w:lang w:val="fr-CA" w:eastAsia="en-CA"/>
        </w:rPr>
        <w:t>mai </w:t>
      </w:r>
      <w:r w:rsidR="0017349F" w:rsidRPr="00876B03">
        <w:rPr>
          <w:b/>
          <w:bCs/>
          <w:lang w:val="fr-CA" w:eastAsia="en-CA"/>
        </w:rPr>
        <w:t>2016</w:t>
      </w:r>
      <w:r>
        <w:rPr>
          <w:b/>
          <w:bCs/>
          <w:lang w:val="fr-CA" w:eastAsia="en-CA"/>
        </w:rPr>
        <w:t xml:space="preserve">, à </w:t>
      </w:r>
      <w:r w:rsidR="0017349F" w:rsidRPr="00876B03">
        <w:rPr>
          <w:b/>
          <w:bCs/>
          <w:lang w:val="fr-CA" w:eastAsia="en-CA"/>
        </w:rPr>
        <w:t>Ottawa</w:t>
      </w:r>
    </w:p>
    <w:p w:rsidR="0017349F" w:rsidRPr="00876B03" w:rsidRDefault="0017349F" w:rsidP="00F253E4">
      <w:pPr>
        <w:rPr>
          <w:b/>
          <w:bCs/>
          <w:lang w:val="fr-CA" w:eastAsia="en-CA"/>
        </w:rPr>
      </w:pPr>
    </w:p>
    <w:p w:rsidR="006A2346" w:rsidRPr="00876B03" w:rsidRDefault="00876B03" w:rsidP="006A2346">
      <w:pPr>
        <w:rPr>
          <w:lang w:val="fr-CA" w:eastAsia="en-CA"/>
        </w:rPr>
      </w:pPr>
      <w:r>
        <w:rPr>
          <w:b/>
          <w:bCs/>
          <w:lang w:val="fr-CA" w:eastAsia="en-CA"/>
        </w:rPr>
        <w:t xml:space="preserve">Participants externes présents : </w:t>
      </w:r>
      <w:r w:rsidRPr="00876B03">
        <w:rPr>
          <w:lang w:val="fr-CA" w:eastAsia="en-CA"/>
        </w:rPr>
        <w:t xml:space="preserve">Action Canada pour la santé et les droits sexuels </w:t>
      </w:r>
      <w:r>
        <w:rPr>
          <w:lang w:val="fr-CA" w:eastAsia="en-CA"/>
        </w:rPr>
        <w:t>(Sandeep</w:t>
      </w:r>
      <w:r w:rsidR="00FB78BE">
        <w:rPr>
          <w:lang w:val="fr-CA" w:eastAsia="en-CA"/>
        </w:rPr>
        <w:t> </w:t>
      </w:r>
      <w:r w:rsidR="006A2346" w:rsidRPr="00876B03">
        <w:rPr>
          <w:lang w:val="fr-CA" w:eastAsia="en-CA"/>
        </w:rPr>
        <w:t xml:space="preserve">Prasad), </w:t>
      </w:r>
      <w:r>
        <w:rPr>
          <w:lang w:val="fr-CA" w:eastAsia="en-CA"/>
        </w:rPr>
        <w:t>Amni</w:t>
      </w:r>
      <w:r w:rsidR="006A2346" w:rsidRPr="00876B03">
        <w:rPr>
          <w:lang w:val="fr-CA" w:eastAsia="en-CA"/>
        </w:rPr>
        <w:t>s</w:t>
      </w:r>
      <w:r>
        <w:rPr>
          <w:lang w:val="fr-CA" w:eastAsia="en-CA"/>
        </w:rPr>
        <w:t xml:space="preserve">tie </w:t>
      </w:r>
      <w:r w:rsidR="006A2346" w:rsidRPr="00876B03">
        <w:rPr>
          <w:lang w:val="fr-CA" w:eastAsia="en-CA"/>
        </w:rPr>
        <w:t>International</w:t>
      </w:r>
      <w:r>
        <w:rPr>
          <w:lang w:val="fr-CA" w:eastAsia="en-CA"/>
        </w:rPr>
        <w:t>e</w:t>
      </w:r>
      <w:r w:rsidR="00FB78BE">
        <w:rPr>
          <w:lang w:val="fr-CA" w:eastAsia="en-CA"/>
        </w:rPr>
        <w:t xml:space="preserve"> (Beatrice </w:t>
      </w:r>
      <w:r w:rsidR="006A2346" w:rsidRPr="00876B03">
        <w:rPr>
          <w:lang w:val="fr-CA" w:eastAsia="en-CA"/>
        </w:rPr>
        <w:t>Vaugrante</w:t>
      </w:r>
      <w:r w:rsidR="007F137A" w:rsidRPr="00876B03">
        <w:rPr>
          <w:lang w:val="fr-CA" w:eastAsia="en-CA"/>
        </w:rPr>
        <w:t>),</w:t>
      </w:r>
      <w:r w:rsidR="006A2346" w:rsidRPr="00876B03">
        <w:rPr>
          <w:lang w:val="fr-CA" w:eastAsia="en-CA"/>
        </w:rPr>
        <w:t xml:space="preserve"> </w:t>
      </w:r>
      <w:r>
        <w:rPr>
          <w:lang w:val="fr-CA" w:eastAsia="en-CA"/>
        </w:rPr>
        <w:t xml:space="preserve">le </w:t>
      </w:r>
      <w:r w:rsidRPr="00876B03">
        <w:rPr>
          <w:lang w:val="fr-CA" w:eastAsia="en-CA"/>
        </w:rPr>
        <w:t xml:space="preserve">Conseil canadien pour la coopération internationale </w:t>
      </w:r>
      <w:r w:rsidR="00FB78BE">
        <w:rPr>
          <w:lang w:val="fr-CA" w:eastAsia="en-CA"/>
        </w:rPr>
        <w:t>(Julia </w:t>
      </w:r>
      <w:r w:rsidR="006A2346" w:rsidRPr="00876B03">
        <w:rPr>
          <w:lang w:val="fr-CA" w:eastAsia="en-CA"/>
        </w:rPr>
        <w:t>Sanchez), CARE Canada (</w:t>
      </w:r>
      <w:r w:rsidR="00FB78BE">
        <w:rPr>
          <w:lang w:val="fr-CA" w:eastAsia="en-CA"/>
        </w:rPr>
        <w:t>Gillian </w:t>
      </w:r>
      <w:r w:rsidR="006A2346" w:rsidRPr="00876B03">
        <w:rPr>
          <w:lang w:val="fr-CA" w:eastAsia="en-CA"/>
        </w:rPr>
        <w:t xml:space="preserve">Barth), </w:t>
      </w:r>
      <w:r w:rsidR="00D12562">
        <w:rPr>
          <w:lang w:val="fr-CA" w:eastAsia="en-CA"/>
        </w:rPr>
        <w:t xml:space="preserve">le </w:t>
      </w:r>
      <w:r w:rsidR="00762AEB" w:rsidRPr="00762AEB">
        <w:rPr>
          <w:lang w:val="fr-CA" w:eastAsia="en-CA"/>
        </w:rPr>
        <w:t xml:space="preserve">Centre d’étude et de coopération internationale </w:t>
      </w:r>
      <w:r w:rsidR="006A2346" w:rsidRPr="00876B03">
        <w:rPr>
          <w:lang w:val="fr-CA" w:eastAsia="en-CA"/>
        </w:rPr>
        <w:t>(</w:t>
      </w:r>
      <w:r w:rsidR="00FB78BE">
        <w:rPr>
          <w:lang w:val="fr-CA" w:eastAsia="en-CA"/>
        </w:rPr>
        <w:t>Claudia </w:t>
      </w:r>
      <w:r w:rsidR="006A2346" w:rsidRPr="00876B03">
        <w:rPr>
          <w:lang w:val="fr-CA" w:eastAsia="en-CA"/>
        </w:rPr>
        <w:t xml:space="preserve">Black), </w:t>
      </w:r>
      <w:r w:rsidR="00D12562">
        <w:rPr>
          <w:lang w:val="fr-CA" w:eastAsia="en-CA"/>
        </w:rPr>
        <w:t xml:space="preserve">le </w:t>
      </w:r>
      <w:r w:rsidR="006A2346" w:rsidRPr="00876B03">
        <w:rPr>
          <w:lang w:val="fr-CA" w:eastAsia="en-CA"/>
        </w:rPr>
        <w:t>Comité québécois femmes et développement</w:t>
      </w:r>
      <w:r w:rsidR="00FB78BE">
        <w:rPr>
          <w:lang w:val="fr-CA" w:eastAsia="en-CA"/>
        </w:rPr>
        <w:t> – CQFD</w:t>
      </w:r>
      <w:r w:rsidR="00762AEB">
        <w:rPr>
          <w:lang w:val="fr-CA" w:eastAsia="en-CA"/>
        </w:rPr>
        <w:t xml:space="preserve"> et l’</w:t>
      </w:r>
      <w:r w:rsidR="00762AEB" w:rsidRPr="00762AEB">
        <w:rPr>
          <w:lang w:val="fr-CA" w:eastAsia="en-CA"/>
        </w:rPr>
        <w:t xml:space="preserve">Association québécoise des organismes de coopération internationale </w:t>
      </w:r>
      <w:r w:rsidR="00FB78BE">
        <w:rPr>
          <w:lang w:val="fr-CA" w:eastAsia="en-CA"/>
        </w:rPr>
        <w:t xml:space="preserve">– </w:t>
      </w:r>
      <w:r w:rsidR="006A2346" w:rsidRPr="00876B03">
        <w:rPr>
          <w:lang w:val="fr-CA" w:eastAsia="en-CA"/>
        </w:rPr>
        <w:t>AQOCI (</w:t>
      </w:r>
      <w:r w:rsidR="00FB78BE">
        <w:rPr>
          <w:lang w:val="fr-CA" w:eastAsia="en-CA"/>
        </w:rPr>
        <w:t>Anne </w:t>
      </w:r>
      <w:r w:rsidR="006A2346" w:rsidRPr="00876B03">
        <w:rPr>
          <w:lang w:val="fr-CA" w:eastAsia="en-CA"/>
        </w:rPr>
        <w:t>Delorme</w:t>
      </w:r>
      <w:r w:rsidR="00FB78BE">
        <w:rPr>
          <w:lang w:val="fr-CA" w:eastAsia="en-CA"/>
        </w:rPr>
        <w:t>), Inter Pares (Rita </w:t>
      </w:r>
      <w:r w:rsidR="006A2346" w:rsidRPr="00876B03">
        <w:rPr>
          <w:lang w:val="fr-CA" w:eastAsia="en-CA"/>
        </w:rPr>
        <w:t xml:space="preserve">Morbia), </w:t>
      </w:r>
      <w:r w:rsidR="00762AEB">
        <w:rPr>
          <w:lang w:val="fr-CA" w:eastAsia="en-CA"/>
        </w:rPr>
        <w:t xml:space="preserve">le </w:t>
      </w:r>
      <w:r w:rsidR="00762AEB" w:rsidRPr="00762AEB">
        <w:rPr>
          <w:lang w:val="fr-CA" w:eastAsia="en-CA"/>
        </w:rPr>
        <w:t xml:space="preserve">Fonds pour les femmes de MATCH International </w:t>
      </w:r>
      <w:r w:rsidR="00FB78BE">
        <w:rPr>
          <w:lang w:val="fr-CA" w:eastAsia="en-CA"/>
        </w:rPr>
        <w:t>(Jess </w:t>
      </w:r>
      <w:r w:rsidR="006A2346" w:rsidRPr="00876B03">
        <w:rPr>
          <w:lang w:val="fr-CA" w:eastAsia="en-CA"/>
        </w:rPr>
        <w:t xml:space="preserve">Tomlin), </w:t>
      </w:r>
      <w:r w:rsidR="00FB78BE">
        <w:rPr>
          <w:lang w:val="fr-CA" w:eastAsia="en-CA"/>
        </w:rPr>
        <w:t xml:space="preserve">la </w:t>
      </w:r>
      <w:r w:rsidR="007F137A" w:rsidRPr="00876B03">
        <w:rPr>
          <w:lang w:val="fr-CA" w:eastAsia="en-CA"/>
        </w:rPr>
        <w:t>Nobel Women's Initiative (</w:t>
      </w:r>
      <w:r w:rsidR="00FB78BE">
        <w:rPr>
          <w:lang w:val="fr-CA" w:eastAsia="en-CA"/>
        </w:rPr>
        <w:t xml:space="preserve"> Liz </w:t>
      </w:r>
      <w:r w:rsidR="006A2346" w:rsidRPr="00876B03">
        <w:rPr>
          <w:lang w:val="fr-CA" w:eastAsia="en-CA"/>
        </w:rPr>
        <w:t xml:space="preserve">Bernstein), </w:t>
      </w:r>
      <w:r w:rsidR="00FB78BE">
        <w:rPr>
          <w:lang w:val="fr-CA" w:eastAsia="en-CA"/>
        </w:rPr>
        <w:t>Oxfam Canada (Julie Delahanty), Oxfam-Québec (Denise </w:t>
      </w:r>
      <w:r w:rsidR="006A2346" w:rsidRPr="00876B03">
        <w:rPr>
          <w:lang w:val="fr-CA" w:eastAsia="en-CA"/>
        </w:rPr>
        <w:t>Byrnes), Plan</w:t>
      </w:r>
      <w:r w:rsidR="00FB78BE">
        <w:rPr>
          <w:lang w:val="fr-CA" w:eastAsia="en-CA"/>
        </w:rPr>
        <w:t xml:space="preserve"> International Canada (Caroline </w:t>
      </w:r>
      <w:r w:rsidR="006A2346" w:rsidRPr="00876B03">
        <w:rPr>
          <w:lang w:val="fr-CA" w:eastAsia="en-CA"/>
        </w:rPr>
        <w:t>Riseboro)</w:t>
      </w:r>
      <w:r w:rsidR="00FB78BE">
        <w:rPr>
          <w:lang w:val="fr-CA" w:eastAsia="en-CA"/>
        </w:rPr>
        <w:t xml:space="preserve"> et le </w:t>
      </w:r>
      <w:r w:rsidR="00FB78BE" w:rsidRPr="00FB78BE">
        <w:rPr>
          <w:lang w:val="fr-CA" w:eastAsia="en-CA"/>
        </w:rPr>
        <w:t>Réseau Les femmes, la paix et la sécurité – Canada</w:t>
      </w:r>
      <w:r w:rsidR="006A2346" w:rsidRPr="00876B03">
        <w:rPr>
          <w:lang w:val="fr-CA" w:eastAsia="en-CA"/>
        </w:rPr>
        <w:t xml:space="preserve"> (Beth</w:t>
      </w:r>
      <w:r w:rsidR="00FB78BE">
        <w:rPr>
          <w:lang w:val="fr-CA" w:eastAsia="en-CA"/>
        </w:rPr>
        <w:t> </w:t>
      </w:r>
      <w:r w:rsidR="006A2346" w:rsidRPr="00876B03">
        <w:rPr>
          <w:lang w:val="fr-CA" w:eastAsia="en-CA"/>
        </w:rPr>
        <w:t>Wor</w:t>
      </w:r>
      <w:r w:rsidR="007F137A" w:rsidRPr="00876B03">
        <w:rPr>
          <w:lang w:val="fr-CA" w:eastAsia="en-CA"/>
        </w:rPr>
        <w:t>o</w:t>
      </w:r>
      <w:r w:rsidR="006A2346" w:rsidRPr="00876B03">
        <w:rPr>
          <w:lang w:val="fr-CA" w:eastAsia="en-CA"/>
        </w:rPr>
        <w:t xml:space="preserve">niuk). </w:t>
      </w:r>
    </w:p>
    <w:p w:rsidR="0017349F" w:rsidRPr="00876B03" w:rsidRDefault="0017349F" w:rsidP="0017349F">
      <w:pPr>
        <w:rPr>
          <w:lang w:val="fr-CA" w:eastAsia="en-CA"/>
        </w:rPr>
      </w:pPr>
    </w:p>
    <w:p w:rsidR="0017349F" w:rsidRPr="00876B03" w:rsidRDefault="00FB78BE" w:rsidP="00FB78BE">
      <w:pPr>
        <w:rPr>
          <w:lang w:val="fr-CA" w:eastAsia="en-CA"/>
        </w:rPr>
      </w:pPr>
      <w:r>
        <w:rPr>
          <w:b/>
          <w:bCs/>
          <w:lang w:val="fr-CA" w:eastAsia="en-CA"/>
        </w:rPr>
        <w:t>P</w:t>
      </w:r>
      <w:r w:rsidR="0017349F" w:rsidRPr="00876B03">
        <w:rPr>
          <w:b/>
          <w:bCs/>
          <w:lang w:val="fr-CA" w:eastAsia="en-CA"/>
        </w:rPr>
        <w:t xml:space="preserve">articipants </w:t>
      </w:r>
      <w:r>
        <w:rPr>
          <w:b/>
          <w:bCs/>
          <w:lang w:val="fr-CA" w:eastAsia="en-CA"/>
        </w:rPr>
        <w:t xml:space="preserve">internes présents : </w:t>
      </w:r>
      <w:r w:rsidRPr="00FB78BE">
        <w:rPr>
          <w:bCs/>
          <w:lang w:val="fr-CA" w:eastAsia="en-CA"/>
        </w:rPr>
        <w:t>la</w:t>
      </w:r>
      <w:r>
        <w:rPr>
          <w:b/>
          <w:bCs/>
          <w:lang w:val="fr-CA" w:eastAsia="en-CA"/>
        </w:rPr>
        <w:t xml:space="preserve"> </w:t>
      </w:r>
      <w:r>
        <w:rPr>
          <w:lang w:val="fr-CA" w:eastAsia="en-CA"/>
        </w:rPr>
        <w:t>ministre Marie-Claude </w:t>
      </w:r>
      <w:r w:rsidR="0017349F" w:rsidRPr="00876B03">
        <w:rPr>
          <w:lang w:val="fr-CA" w:eastAsia="en-CA"/>
        </w:rPr>
        <w:t xml:space="preserve">Bibeau, </w:t>
      </w:r>
      <w:r>
        <w:rPr>
          <w:lang w:val="fr-CA" w:eastAsia="en-CA"/>
        </w:rPr>
        <w:t>Hannah </w:t>
      </w:r>
      <w:r w:rsidR="007F137A" w:rsidRPr="00876B03">
        <w:rPr>
          <w:lang w:val="fr-CA" w:eastAsia="en-CA"/>
        </w:rPr>
        <w:t>Button</w:t>
      </w:r>
      <w:r w:rsidR="0017349F" w:rsidRPr="00876B03">
        <w:rPr>
          <w:lang w:val="fr-CA" w:eastAsia="en-CA"/>
        </w:rPr>
        <w:t xml:space="preserve"> (</w:t>
      </w:r>
      <w:r>
        <w:rPr>
          <w:lang w:val="fr-CA" w:eastAsia="en-CA"/>
        </w:rPr>
        <w:t>conseillère ministérielle), Sarah Fountain </w:t>
      </w:r>
      <w:r w:rsidR="0017349F" w:rsidRPr="00876B03">
        <w:rPr>
          <w:lang w:val="fr-CA" w:eastAsia="en-CA"/>
        </w:rPr>
        <w:t>Smith (</w:t>
      </w:r>
      <w:r>
        <w:rPr>
          <w:lang w:val="fr-CA" w:eastAsia="en-CA"/>
        </w:rPr>
        <w:t>sous-ministre adjointe intérimaire</w:t>
      </w:r>
      <w:r w:rsidR="008539EF">
        <w:rPr>
          <w:lang w:val="fr-CA" w:eastAsia="en-CA"/>
        </w:rPr>
        <w:t>, Secteur des enjeux mondiaux et du développement</w:t>
      </w:r>
      <w:r w:rsidR="0017349F" w:rsidRPr="00876B03">
        <w:rPr>
          <w:lang w:val="fr-CA" w:eastAsia="en-CA"/>
        </w:rPr>
        <w:t xml:space="preserve">), </w:t>
      </w:r>
      <w:r w:rsidR="008539EF">
        <w:rPr>
          <w:lang w:val="fr-CA" w:eastAsia="en-CA"/>
        </w:rPr>
        <w:t>Nancy </w:t>
      </w:r>
      <w:r w:rsidR="001A55A5" w:rsidRPr="00876B03">
        <w:rPr>
          <w:lang w:val="fr-CA" w:eastAsia="en-CA"/>
        </w:rPr>
        <w:t>Smyth (</w:t>
      </w:r>
      <w:r w:rsidR="008539EF">
        <w:rPr>
          <w:lang w:val="fr-CA" w:eastAsia="en-CA"/>
        </w:rPr>
        <w:t>directrice générale, Direction générale du développement social</w:t>
      </w:r>
      <w:r w:rsidR="001A55A5" w:rsidRPr="00876B03">
        <w:rPr>
          <w:lang w:val="fr-CA" w:eastAsia="en-CA"/>
        </w:rPr>
        <w:t>), Richard</w:t>
      </w:r>
      <w:r w:rsidR="008539EF">
        <w:rPr>
          <w:lang w:val="fr-CA" w:eastAsia="en-CA"/>
        </w:rPr>
        <w:t> </w:t>
      </w:r>
      <w:r w:rsidR="001A55A5" w:rsidRPr="00876B03">
        <w:rPr>
          <w:lang w:val="fr-CA" w:eastAsia="en-CA"/>
        </w:rPr>
        <w:t>Arbeiter (</w:t>
      </w:r>
      <w:r w:rsidR="008539EF">
        <w:rPr>
          <w:lang w:val="fr-CA" w:eastAsia="en-CA"/>
        </w:rPr>
        <w:t>directeur général, Bureau des droits de la personne, des libertés et de l’inc</w:t>
      </w:r>
      <w:r w:rsidR="00540BA7" w:rsidRPr="00876B03">
        <w:rPr>
          <w:lang w:val="fr-CA" w:eastAsia="en-CA"/>
        </w:rPr>
        <w:t>lusion</w:t>
      </w:r>
      <w:r w:rsidR="008539EF">
        <w:rPr>
          <w:lang w:val="fr-CA" w:eastAsia="en-CA"/>
        </w:rPr>
        <w:t>) et Lilian </w:t>
      </w:r>
      <w:r w:rsidR="0017349F" w:rsidRPr="00876B03">
        <w:rPr>
          <w:lang w:val="fr-CA" w:eastAsia="en-CA"/>
        </w:rPr>
        <w:t>Chatterjee (</w:t>
      </w:r>
      <w:r w:rsidR="008539EF">
        <w:rPr>
          <w:lang w:val="fr-CA" w:eastAsia="en-CA"/>
        </w:rPr>
        <w:t>directrice générale, Partenariats pour le développement s</w:t>
      </w:r>
      <w:r w:rsidR="00540BA7" w:rsidRPr="00876B03">
        <w:rPr>
          <w:lang w:val="fr-CA" w:eastAsia="en-CA"/>
        </w:rPr>
        <w:t>ocial</w:t>
      </w:r>
      <w:r w:rsidR="0017349F" w:rsidRPr="00876B03">
        <w:rPr>
          <w:lang w:val="fr-CA" w:eastAsia="en-CA"/>
        </w:rPr>
        <w:t xml:space="preserve">). </w:t>
      </w:r>
    </w:p>
    <w:p w:rsidR="0017349F" w:rsidRPr="00876B03" w:rsidRDefault="0017349F" w:rsidP="0017349F">
      <w:pPr>
        <w:rPr>
          <w:lang w:val="fr-CA" w:eastAsia="en-CA"/>
        </w:rPr>
      </w:pPr>
    </w:p>
    <w:p w:rsidR="0017349F" w:rsidRPr="00876B03" w:rsidRDefault="0017349F" w:rsidP="0017349F">
      <w:pPr>
        <w:rPr>
          <w:lang w:val="fr-CA" w:eastAsia="en-CA"/>
        </w:rPr>
      </w:pPr>
    </w:p>
    <w:p w:rsidR="00E15151" w:rsidRPr="00876B03" w:rsidRDefault="00446CD6" w:rsidP="0017349F">
      <w:pPr>
        <w:rPr>
          <w:lang w:val="fr-CA" w:eastAsia="en-CA"/>
        </w:rPr>
      </w:pPr>
      <w:r>
        <w:rPr>
          <w:b/>
          <w:lang w:val="fr-CA" w:eastAsia="en-CA"/>
        </w:rPr>
        <w:t xml:space="preserve">Résumé de l’activité : </w:t>
      </w:r>
      <w:r>
        <w:rPr>
          <w:lang w:val="fr-CA"/>
        </w:rPr>
        <w:t xml:space="preserve">Le 10 mai, à </w:t>
      </w:r>
      <w:r w:rsidR="0017349F" w:rsidRPr="00876B03">
        <w:rPr>
          <w:lang w:val="fr-CA" w:eastAsia="en-CA"/>
        </w:rPr>
        <w:t>Ottawa</w:t>
      </w:r>
      <w:r>
        <w:rPr>
          <w:lang w:val="fr-CA" w:eastAsia="en-CA"/>
        </w:rPr>
        <w:t xml:space="preserve"> </w:t>
      </w:r>
      <w:r w:rsidR="0010720E">
        <w:rPr>
          <w:lang w:val="fr-CA" w:eastAsia="en-CA"/>
        </w:rPr>
        <w:t>–</w:t>
      </w:r>
      <w:r>
        <w:rPr>
          <w:lang w:val="fr-CA" w:eastAsia="en-CA"/>
        </w:rPr>
        <w:t xml:space="preserve"> La ministre </w:t>
      </w:r>
      <w:r w:rsidR="0017349F" w:rsidRPr="00876B03">
        <w:rPr>
          <w:lang w:val="fr-CA" w:eastAsia="en-CA"/>
        </w:rPr>
        <w:t xml:space="preserve">Bibeau </w:t>
      </w:r>
      <w:r>
        <w:rPr>
          <w:lang w:val="fr-CA" w:eastAsia="en-CA"/>
        </w:rPr>
        <w:t>a tenu une table ronde en compagnie de 13 intervenants canadiens actifs dans le domaine de l’égalité entre les sexes et des droits des femmes et des filles pour discuter de la voie à prendre dans le cadre du programme canadien à cet égard.</w:t>
      </w:r>
      <w:r>
        <w:rPr>
          <w:lang w:val="fr-CA"/>
        </w:rPr>
        <w:t xml:space="preserve"> Des intervenants ont manifesté leur soutien et leur enthousiasme à l’égard de l’</w:t>
      </w:r>
      <w:r>
        <w:rPr>
          <w:lang w:val="fr-CA" w:eastAsia="en-CA"/>
        </w:rPr>
        <w:t xml:space="preserve">approche et de la mobilisation renouvelées du </w:t>
      </w:r>
      <w:r w:rsidR="0017349F" w:rsidRPr="00876B03">
        <w:rPr>
          <w:lang w:val="fr-CA" w:eastAsia="en-CA"/>
        </w:rPr>
        <w:t>Canada</w:t>
      </w:r>
      <w:r>
        <w:rPr>
          <w:lang w:val="fr-CA" w:eastAsia="en-CA"/>
        </w:rPr>
        <w:t xml:space="preserve"> en matière d’égalité entre les sexes et ont insisté sur les principaux enjeux à prendre en compte, notamment : l’</w:t>
      </w:r>
      <w:r w:rsidR="00E15151" w:rsidRPr="00876B03">
        <w:rPr>
          <w:lang w:val="fr-CA" w:eastAsia="en-CA"/>
        </w:rPr>
        <w:t xml:space="preserve">importance </w:t>
      </w:r>
      <w:r>
        <w:rPr>
          <w:lang w:val="fr-CA" w:eastAsia="en-CA"/>
        </w:rPr>
        <w:t xml:space="preserve">de l’appui aux organisations </w:t>
      </w:r>
      <w:r w:rsidR="0033093B">
        <w:rPr>
          <w:lang w:val="fr-CA" w:eastAsia="en-CA"/>
        </w:rPr>
        <w:t xml:space="preserve">de défense aux </w:t>
      </w:r>
      <w:r>
        <w:rPr>
          <w:lang w:val="fr-CA" w:eastAsia="en-CA"/>
        </w:rPr>
        <w:t>droits des femmes; l’équilibre social dans les interventions économiques et politiques</w:t>
      </w:r>
      <w:r w:rsidR="0046608A" w:rsidRPr="00876B03">
        <w:rPr>
          <w:lang w:val="fr-CA" w:eastAsia="en-CA"/>
        </w:rPr>
        <w:t>;</w:t>
      </w:r>
      <w:r w:rsidR="00E15151" w:rsidRPr="00876B03">
        <w:rPr>
          <w:lang w:val="fr-CA" w:eastAsia="en-CA"/>
        </w:rPr>
        <w:t xml:space="preserve"> </w:t>
      </w:r>
      <w:r w:rsidR="00A24DC1">
        <w:rPr>
          <w:lang w:val="fr-CA" w:eastAsia="en-CA"/>
        </w:rPr>
        <w:t>le respect des approches fondées sur les droits de la personne et l’autonomisation</w:t>
      </w:r>
      <w:r w:rsidR="0046608A" w:rsidRPr="00876B03">
        <w:rPr>
          <w:lang w:val="fr-CA" w:eastAsia="en-CA"/>
        </w:rPr>
        <w:t>;</w:t>
      </w:r>
      <w:r w:rsidR="00E15151" w:rsidRPr="00876B03">
        <w:rPr>
          <w:lang w:val="fr-CA" w:eastAsia="en-CA"/>
        </w:rPr>
        <w:t xml:space="preserve"> </w:t>
      </w:r>
      <w:r w:rsidR="00A24DC1">
        <w:rPr>
          <w:lang w:val="fr-CA" w:eastAsia="en-CA"/>
        </w:rPr>
        <w:t>la mobilisation des hommes et des garçons; le renforcement des données portant sur l’égalité entre les sexes; l’assurance d’une priorité thématique distincte pour l’égalité entre les sexes ainsi que d’approches transversales</w:t>
      </w:r>
      <w:r w:rsidR="00DF0577" w:rsidRPr="00876B03">
        <w:rPr>
          <w:lang w:val="fr-CA" w:eastAsia="en-CA"/>
        </w:rPr>
        <w:t>;</w:t>
      </w:r>
      <w:r w:rsidR="004E2C4A" w:rsidRPr="00876B03">
        <w:rPr>
          <w:lang w:val="fr-CA" w:eastAsia="en-CA"/>
        </w:rPr>
        <w:t xml:space="preserve"> </w:t>
      </w:r>
      <w:r w:rsidR="004336CD">
        <w:rPr>
          <w:lang w:val="fr-CA" w:eastAsia="en-CA"/>
        </w:rPr>
        <w:t xml:space="preserve">la </w:t>
      </w:r>
      <w:r w:rsidR="004336CD" w:rsidRPr="005D3DFA">
        <w:rPr>
          <w:lang w:val="fr-CA" w:eastAsia="en-CA"/>
        </w:rPr>
        <w:t>concrétisation</w:t>
      </w:r>
      <w:r w:rsidR="004336CD">
        <w:rPr>
          <w:lang w:val="fr-CA" w:eastAsia="en-CA"/>
        </w:rPr>
        <w:t xml:space="preserve"> des déclarations et des résolutions politiques fermes au moyen d’un financement, d’un renforcement de la capacité et de la mise en œuvre</w:t>
      </w:r>
      <w:r w:rsidR="004E2C4A" w:rsidRPr="00876B03">
        <w:rPr>
          <w:lang w:val="fr-CA" w:eastAsia="en-CA"/>
        </w:rPr>
        <w:t>.</w:t>
      </w:r>
    </w:p>
    <w:p w:rsidR="0017349F" w:rsidRPr="00876B03" w:rsidRDefault="0017349F" w:rsidP="0017349F">
      <w:pPr>
        <w:rPr>
          <w:lang w:val="fr-CA" w:eastAsia="en-CA"/>
        </w:rPr>
      </w:pPr>
    </w:p>
    <w:p w:rsidR="0017349F" w:rsidRPr="00876B03" w:rsidRDefault="004336CD" w:rsidP="0017349F">
      <w:pPr>
        <w:rPr>
          <w:b/>
          <w:bCs/>
          <w:lang w:val="fr-CA" w:eastAsia="en-CA"/>
        </w:rPr>
      </w:pPr>
      <w:r>
        <w:rPr>
          <w:b/>
          <w:bCs/>
          <w:lang w:val="fr-CA" w:eastAsia="en-CA"/>
        </w:rPr>
        <w:t>Mot d’ouverture</w:t>
      </w:r>
    </w:p>
    <w:p w:rsidR="00DF0577" w:rsidRPr="00876B03" w:rsidRDefault="004336CD" w:rsidP="00DF0577">
      <w:pPr>
        <w:pStyle w:val="Paragraphedeliste"/>
        <w:numPr>
          <w:ilvl w:val="0"/>
          <w:numId w:val="6"/>
        </w:numPr>
        <w:rPr>
          <w:lang w:val="fr-CA" w:eastAsia="en-CA"/>
        </w:rPr>
      </w:pPr>
      <w:r>
        <w:rPr>
          <w:lang w:val="fr-CA" w:eastAsia="en-CA"/>
        </w:rPr>
        <w:t xml:space="preserve">La ministre </w:t>
      </w:r>
      <w:r w:rsidR="00667535" w:rsidRPr="00876B03">
        <w:rPr>
          <w:lang w:val="fr-CA" w:eastAsia="en-CA"/>
        </w:rPr>
        <w:t xml:space="preserve">Bibeau </w:t>
      </w:r>
      <w:r w:rsidR="0046493D">
        <w:rPr>
          <w:lang w:val="fr-CA" w:eastAsia="en-CA"/>
        </w:rPr>
        <w:t xml:space="preserve">amorce </w:t>
      </w:r>
      <w:r>
        <w:rPr>
          <w:lang w:val="fr-CA" w:eastAsia="en-CA"/>
        </w:rPr>
        <w:t xml:space="preserve">la discussion en précisant qu’elle est bien déterminée à améliorer l’autonomisation des femmes et des filles dans le monde et qu’elle entend en faire une grande priorité de l’aide internationale du </w:t>
      </w:r>
      <w:r w:rsidR="002F0ACD" w:rsidRPr="00876B03">
        <w:rPr>
          <w:lang w:val="fr-CA" w:eastAsia="en-CA"/>
        </w:rPr>
        <w:t>Canada</w:t>
      </w:r>
      <w:r>
        <w:rPr>
          <w:lang w:val="fr-CA" w:eastAsia="en-CA"/>
        </w:rPr>
        <w:t xml:space="preserve"> à l’avenir</w:t>
      </w:r>
      <w:r w:rsidR="00A957F7" w:rsidRPr="00876B03">
        <w:rPr>
          <w:lang w:val="fr-CA" w:eastAsia="en-CA"/>
        </w:rPr>
        <w:t xml:space="preserve">. </w:t>
      </w:r>
    </w:p>
    <w:p w:rsidR="00312EC8" w:rsidRPr="00876B03" w:rsidRDefault="004336CD" w:rsidP="00DF0577">
      <w:pPr>
        <w:pStyle w:val="Paragraphedeliste"/>
        <w:numPr>
          <w:ilvl w:val="0"/>
          <w:numId w:val="6"/>
        </w:numPr>
        <w:rPr>
          <w:lang w:val="fr-CA" w:eastAsia="en-CA"/>
        </w:rPr>
      </w:pPr>
      <w:r>
        <w:rPr>
          <w:lang w:val="fr-CA" w:eastAsia="en-CA"/>
        </w:rPr>
        <w:t xml:space="preserve">Elle </w:t>
      </w:r>
      <w:r w:rsidR="00FD4687">
        <w:rPr>
          <w:lang w:val="fr-CA" w:eastAsia="en-CA"/>
        </w:rPr>
        <w:t xml:space="preserve">écoute </w:t>
      </w:r>
      <w:r>
        <w:rPr>
          <w:lang w:val="fr-CA" w:eastAsia="en-CA"/>
        </w:rPr>
        <w:t xml:space="preserve">les points de vue des participants quant à la manière d’améliorer nos approches à l’égard de l’égalité entre les sexes et </w:t>
      </w:r>
      <w:r w:rsidR="00FD4687">
        <w:rPr>
          <w:lang w:val="fr-CA" w:eastAsia="en-CA"/>
        </w:rPr>
        <w:t xml:space="preserve">de s’appuyer sur les </w:t>
      </w:r>
      <w:r>
        <w:rPr>
          <w:lang w:val="fr-CA" w:eastAsia="en-CA"/>
        </w:rPr>
        <w:t>points forts du Canada.</w:t>
      </w:r>
      <w:r w:rsidR="0021037B" w:rsidRPr="00876B03">
        <w:rPr>
          <w:lang w:val="fr-CA" w:eastAsia="en-CA"/>
        </w:rPr>
        <w:t xml:space="preserve"> </w:t>
      </w:r>
      <w:r>
        <w:rPr>
          <w:lang w:val="fr-CA" w:eastAsia="en-CA"/>
        </w:rPr>
        <w:t xml:space="preserve">Elle </w:t>
      </w:r>
      <w:r w:rsidR="00FD4687">
        <w:rPr>
          <w:lang w:val="fr-CA" w:eastAsia="en-CA"/>
        </w:rPr>
        <w:t xml:space="preserve">demande </w:t>
      </w:r>
      <w:r>
        <w:rPr>
          <w:lang w:val="fr-CA" w:eastAsia="en-CA"/>
        </w:rPr>
        <w:t>à ce qu’on lui fasse part de commentaires sur ce qu’il faut mettre en priorité</w:t>
      </w:r>
      <w:r w:rsidR="0021037B" w:rsidRPr="00876B03">
        <w:rPr>
          <w:lang w:val="fr-CA" w:eastAsia="en-CA"/>
        </w:rPr>
        <w:t xml:space="preserve">, </w:t>
      </w:r>
      <w:r>
        <w:rPr>
          <w:lang w:val="fr-CA" w:eastAsia="en-CA"/>
        </w:rPr>
        <w:t xml:space="preserve">l’avantage comparatif du </w:t>
      </w:r>
      <w:r w:rsidR="00DF0577" w:rsidRPr="00876B03">
        <w:rPr>
          <w:lang w:val="fr-CA" w:eastAsia="en-CA"/>
        </w:rPr>
        <w:t xml:space="preserve">Canada, </w:t>
      </w:r>
      <w:r>
        <w:rPr>
          <w:lang w:val="fr-CA" w:eastAsia="en-CA"/>
        </w:rPr>
        <w:t>les mécanismes à employer et les domaines où nous pourrions obtenir les résultats les plus significatifs.</w:t>
      </w:r>
      <w:r w:rsidR="0021037B" w:rsidRPr="00876B03">
        <w:rPr>
          <w:lang w:val="fr-CA" w:eastAsia="en-CA"/>
        </w:rPr>
        <w:t xml:space="preserve"> </w:t>
      </w:r>
    </w:p>
    <w:p w:rsidR="000B1DB8" w:rsidRPr="00876B03" w:rsidRDefault="004336CD" w:rsidP="0017349F">
      <w:pPr>
        <w:rPr>
          <w:b/>
          <w:lang w:val="fr-CA" w:eastAsia="en-CA"/>
        </w:rPr>
      </w:pPr>
      <w:r>
        <w:rPr>
          <w:b/>
          <w:lang w:val="fr-CA" w:eastAsia="en-CA"/>
        </w:rPr>
        <w:t>Résumé</w:t>
      </w:r>
    </w:p>
    <w:p w:rsidR="0098019F" w:rsidRPr="00876B03" w:rsidRDefault="004336CD" w:rsidP="0017349F">
      <w:pPr>
        <w:rPr>
          <w:lang w:val="fr-CA" w:eastAsia="en-CA"/>
        </w:rPr>
      </w:pPr>
      <w:r>
        <w:rPr>
          <w:lang w:val="fr-CA" w:eastAsia="en-CA"/>
        </w:rPr>
        <w:t xml:space="preserve">La </w:t>
      </w:r>
      <w:r w:rsidR="0098019F" w:rsidRPr="00876B03">
        <w:rPr>
          <w:lang w:val="fr-CA" w:eastAsia="en-CA"/>
        </w:rPr>
        <w:t xml:space="preserve">discussion </w:t>
      </w:r>
      <w:r>
        <w:rPr>
          <w:lang w:val="fr-CA" w:eastAsia="en-CA"/>
        </w:rPr>
        <w:t>s’est articulée autour de trois</w:t>
      </w:r>
      <w:r w:rsidR="00036BEB">
        <w:rPr>
          <w:lang w:val="fr-CA" w:eastAsia="en-CA"/>
        </w:rPr>
        <w:t> </w:t>
      </w:r>
      <w:r>
        <w:rPr>
          <w:lang w:val="fr-CA" w:eastAsia="en-CA"/>
        </w:rPr>
        <w:t>thèmes</w:t>
      </w:r>
      <w:r w:rsidR="00036BEB">
        <w:rPr>
          <w:lang w:val="fr-CA" w:eastAsia="en-CA"/>
        </w:rPr>
        <w:t> </w:t>
      </w:r>
      <w:r w:rsidR="0098019F" w:rsidRPr="00876B03">
        <w:rPr>
          <w:lang w:val="fr-CA" w:eastAsia="en-CA"/>
        </w:rPr>
        <w:t>: i)</w:t>
      </w:r>
      <w:r w:rsidR="00036BEB">
        <w:rPr>
          <w:lang w:val="fr-CA" w:eastAsia="en-CA"/>
        </w:rPr>
        <w:t xml:space="preserve"> faire le bilan de ce que nous avons appris sur la promotion de l’égalité entre les sexes et </w:t>
      </w:r>
      <w:r w:rsidR="00020C14">
        <w:rPr>
          <w:lang w:val="fr-CA" w:eastAsia="en-CA"/>
        </w:rPr>
        <w:t>signaler les points à améliorer</w:t>
      </w:r>
      <w:r w:rsidR="009C7157" w:rsidRPr="00876B03">
        <w:rPr>
          <w:lang w:val="fr-CA" w:eastAsia="en-CA"/>
        </w:rPr>
        <w:t>; ii)</w:t>
      </w:r>
      <w:r w:rsidR="00020C14">
        <w:rPr>
          <w:lang w:val="fr-CA" w:eastAsia="en-CA"/>
        </w:rPr>
        <w:t> </w:t>
      </w:r>
      <w:r w:rsidR="00EB7678">
        <w:rPr>
          <w:lang w:val="fr-CA" w:eastAsia="en-CA"/>
        </w:rPr>
        <w:t xml:space="preserve">aller de l’avant avec la </w:t>
      </w:r>
      <w:r w:rsidR="00EB7678">
        <w:rPr>
          <w:lang w:val="fr-CA" w:eastAsia="en-CA"/>
        </w:rPr>
        <w:lastRenderedPageBreak/>
        <w:t xml:space="preserve">stratégie du Programme </w:t>
      </w:r>
      <w:r w:rsidR="00FD4687">
        <w:rPr>
          <w:lang w:val="fr-CA" w:eastAsia="en-CA"/>
        </w:rPr>
        <w:t xml:space="preserve">de développement </w:t>
      </w:r>
      <w:r w:rsidR="00EB7678">
        <w:rPr>
          <w:lang w:val="fr-CA" w:eastAsia="en-CA"/>
        </w:rPr>
        <w:t>à l’horizon 2030 pour faire progresser l’égalité entre les sexes</w:t>
      </w:r>
      <w:r w:rsidR="009C7157" w:rsidRPr="00876B03">
        <w:rPr>
          <w:lang w:val="fr-CA" w:eastAsia="en-CA"/>
        </w:rPr>
        <w:t>; iii)</w:t>
      </w:r>
      <w:r w:rsidR="00EB7678">
        <w:rPr>
          <w:lang w:val="fr-CA" w:eastAsia="en-CA"/>
        </w:rPr>
        <w:t xml:space="preserve"> cerner les possibilité</w:t>
      </w:r>
      <w:r w:rsidR="0046493D">
        <w:rPr>
          <w:lang w:val="fr-CA" w:eastAsia="en-CA"/>
        </w:rPr>
        <w:t>s</w:t>
      </w:r>
      <w:r w:rsidR="00EB7678">
        <w:rPr>
          <w:lang w:val="fr-CA" w:eastAsia="en-CA"/>
        </w:rPr>
        <w:t xml:space="preserve"> d’accroître le rôle de meneur du Canada en matière d’égalité entre les sexes et de droits des femmes et des filles</w:t>
      </w:r>
      <w:r w:rsidR="009C7157" w:rsidRPr="00876B03">
        <w:rPr>
          <w:lang w:val="fr-CA" w:eastAsia="en-CA"/>
        </w:rPr>
        <w:t xml:space="preserve">. </w:t>
      </w:r>
      <w:r w:rsidR="00EB7678">
        <w:rPr>
          <w:lang w:val="fr-CA" w:eastAsia="en-CA"/>
        </w:rPr>
        <w:t>Les principaux thèmes et recommandations sont résumés plus bas.</w:t>
      </w:r>
      <w:r w:rsidR="0098019F" w:rsidRPr="00876B03">
        <w:rPr>
          <w:lang w:val="fr-CA" w:eastAsia="en-CA"/>
        </w:rPr>
        <w:t xml:space="preserve"> </w:t>
      </w:r>
    </w:p>
    <w:p w:rsidR="0098019F" w:rsidRPr="00876B03" w:rsidRDefault="0098019F" w:rsidP="0017349F">
      <w:pPr>
        <w:rPr>
          <w:b/>
          <w:bCs/>
          <w:lang w:val="fr-CA" w:eastAsia="en-CA"/>
        </w:rPr>
      </w:pPr>
    </w:p>
    <w:p w:rsidR="00582192" w:rsidRPr="00876B03" w:rsidRDefault="00EB7678" w:rsidP="00582192">
      <w:pPr>
        <w:rPr>
          <w:lang w:val="fr-CA"/>
        </w:rPr>
      </w:pPr>
      <w:r>
        <w:rPr>
          <w:b/>
          <w:lang w:val="fr-CA"/>
        </w:rPr>
        <w:t xml:space="preserve">Accroître notre rôle de chef de file historique : </w:t>
      </w:r>
      <w:r>
        <w:rPr>
          <w:lang w:val="fr-CA"/>
        </w:rPr>
        <w:t>Le C</w:t>
      </w:r>
      <w:r w:rsidR="005245AC" w:rsidRPr="00876B03">
        <w:rPr>
          <w:lang w:val="fr-CA"/>
        </w:rPr>
        <w:t xml:space="preserve">anada </w:t>
      </w:r>
      <w:r>
        <w:rPr>
          <w:lang w:val="fr-CA"/>
        </w:rPr>
        <w:t xml:space="preserve">a </w:t>
      </w:r>
      <w:r w:rsidR="009C5B56">
        <w:rPr>
          <w:lang w:val="fr-CA"/>
        </w:rPr>
        <w:t xml:space="preserve">une solide base de données historiques </w:t>
      </w:r>
      <w:r w:rsidR="00FF48CA">
        <w:rPr>
          <w:lang w:val="fr-CA"/>
        </w:rPr>
        <w:t xml:space="preserve">sur laquelle il s’appuie, de ses débuts en tant que meneur des « femmes dans le développement » </w:t>
      </w:r>
      <w:r w:rsidR="000B27A0">
        <w:rPr>
          <w:lang w:val="fr-CA"/>
        </w:rPr>
        <w:t>et de ses efforts pour faire évoluer la réflexion et les pratiques à l’échelle internationale en vue de l’élaboration d’une approche en matière d’égalité entre les sexes.</w:t>
      </w:r>
      <w:r w:rsidR="00582192" w:rsidRPr="00876B03">
        <w:rPr>
          <w:lang w:val="fr-CA"/>
        </w:rPr>
        <w:t xml:space="preserve"> </w:t>
      </w:r>
      <w:r w:rsidR="000B27A0">
        <w:rPr>
          <w:lang w:val="fr-CA"/>
        </w:rPr>
        <w:t xml:space="preserve">Le Canada appuie depuis longtemps des organisations communautaires </w:t>
      </w:r>
      <w:r w:rsidR="00792AF5">
        <w:rPr>
          <w:lang w:val="fr-CA"/>
        </w:rPr>
        <w:t xml:space="preserve">pour les </w:t>
      </w:r>
      <w:r w:rsidR="000B27A0">
        <w:rPr>
          <w:lang w:val="fr-CA"/>
        </w:rPr>
        <w:t xml:space="preserve">femmes </w:t>
      </w:r>
      <w:r w:rsidR="00792AF5">
        <w:rPr>
          <w:lang w:val="fr-CA"/>
        </w:rPr>
        <w:t xml:space="preserve">dans le monde, en collaborant en même temps avec le gouvernement, par l’entremise de </w:t>
      </w:r>
      <w:r w:rsidR="00792AF5" w:rsidRPr="00792AF5">
        <w:rPr>
          <w:lang w:val="fr-CA"/>
        </w:rPr>
        <w:t xml:space="preserve">mécanismes nationaux chargés de la condition </w:t>
      </w:r>
      <w:r w:rsidR="00792AF5">
        <w:rPr>
          <w:lang w:val="fr-CA"/>
        </w:rPr>
        <w:t>féminine</w:t>
      </w:r>
      <w:r w:rsidR="002F6193" w:rsidRPr="00876B03">
        <w:rPr>
          <w:lang w:val="fr-CA"/>
        </w:rPr>
        <w:t>,</w:t>
      </w:r>
      <w:r w:rsidR="00792AF5">
        <w:rPr>
          <w:lang w:val="fr-CA"/>
        </w:rPr>
        <w:t xml:space="preserve"> pour éliminer la discrimination à l’égard des femmes</w:t>
      </w:r>
      <w:r w:rsidR="00EB5B4F" w:rsidRPr="00876B03">
        <w:rPr>
          <w:lang w:val="fr-CA"/>
        </w:rPr>
        <w:t>,</w:t>
      </w:r>
      <w:r w:rsidR="00201DEF">
        <w:rPr>
          <w:lang w:val="fr-CA"/>
        </w:rPr>
        <w:t xml:space="preserve"> promouvoir leur participation dans les </w:t>
      </w:r>
      <w:r w:rsidR="003B2D29">
        <w:rPr>
          <w:lang w:val="fr-CA"/>
        </w:rPr>
        <w:t>domaines social, politique et économique et faire progresser leurs droits fonciers, génésiques et du travail, par exemple.</w:t>
      </w:r>
      <w:r w:rsidR="002F6193" w:rsidRPr="00876B03">
        <w:rPr>
          <w:lang w:val="fr-CA"/>
        </w:rPr>
        <w:t xml:space="preserve"> </w:t>
      </w:r>
      <w:r w:rsidR="004755D7">
        <w:rPr>
          <w:lang w:val="fr-CA"/>
        </w:rPr>
        <w:t xml:space="preserve">Nous devons nous doter de personnel et de ressources pour nous permettre d’établir </w:t>
      </w:r>
      <w:r w:rsidR="00A02FC6">
        <w:rPr>
          <w:lang w:val="fr-CA"/>
        </w:rPr>
        <w:t>d</w:t>
      </w:r>
      <w:r w:rsidR="004755D7">
        <w:rPr>
          <w:lang w:val="fr-CA"/>
        </w:rPr>
        <w:t xml:space="preserve">es réseaux et </w:t>
      </w:r>
      <w:r w:rsidR="00A02FC6">
        <w:rPr>
          <w:lang w:val="fr-CA"/>
        </w:rPr>
        <w:t>une</w:t>
      </w:r>
      <w:r w:rsidR="004755D7">
        <w:rPr>
          <w:lang w:val="fr-CA"/>
        </w:rPr>
        <w:t xml:space="preserve"> crédibilité pour </w:t>
      </w:r>
      <w:r w:rsidR="00A854A4">
        <w:rPr>
          <w:lang w:val="fr-CA"/>
        </w:rPr>
        <w:t xml:space="preserve">faire progresser les questions liées à l’égalité entre les sexes dans diverses tribunes. Le </w:t>
      </w:r>
      <w:r w:rsidR="002F6193" w:rsidRPr="00876B03">
        <w:rPr>
          <w:lang w:val="fr-CA"/>
        </w:rPr>
        <w:t xml:space="preserve">Canada </w:t>
      </w:r>
      <w:r w:rsidR="00A854A4">
        <w:rPr>
          <w:lang w:val="fr-CA"/>
        </w:rPr>
        <w:t>a l’occasion d’établir de nouveau les normes internationales et les lignes directrices en matière d’égalité entre les sexes que d’autres suivront</w:t>
      </w:r>
      <w:r w:rsidR="002F6193" w:rsidRPr="00876B03">
        <w:rPr>
          <w:lang w:val="fr-CA"/>
        </w:rPr>
        <w:t>.</w:t>
      </w:r>
      <w:r w:rsidR="002F6193" w:rsidRPr="00876B03">
        <w:rPr>
          <w:lang w:val="fr-CA"/>
        </w:rPr>
        <w:br/>
      </w:r>
    </w:p>
    <w:p w:rsidR="0021037B" w:rsidRPr="00876B03" w:rsidRDefault="00A854A4" w:rsidP="00343834">
      <w:pPr>
        <w:rPr>
          <w:lang w:val="fr-CA"/>
        </w:rPr>
      </w:pPr>
      <w:r>
        <w:rPr>
          <w:b/>
          <w:lang w:val="fr-CA"/>
        </w:rPr>
        <w:t xml:space="preserve">Les droits et l’autonomisation : </w:t>
      </w:r>
      <w:r>
        <w:rPr>
          <w:lang w:val="fr-CA"/>
        </w:rPr>
        <w:t xml:space="preserve">Les intervenants </w:t>
      </w:r>
      <w:r w:rsidR="004E079D">
        <w:rPr>
          <w:lang w:val="fr-CA"/>
        </w:rPr>
        <w:t xml:space="preserve">encouragent </w:t>
      </w:r>
      <w:r w:rsidR="00111E9C">
        <w:rPr>
          <w:lang w:val="fr-CA"/>
        </w:rPr>
        <w:t xml:space="preserve">fortement l’établissement d’une priorité générale axée sur les femmes et les filles; ils </w:t>
      </w:r>
      <w:r w:rsidR="004E079D">
        <w:rPr>
          <w:lang w:val="fr-CA"/>
        </w:rPr>
        <w:t xml:space="preserve">soulignent </w:t>
      </w:r>
      <w:r w:rsidR="00111E9C">
        <w:rPr>
          <w:lang w:val="fr-CA"/>
        </w:rPr>
        <w:t>cependant l’</w:t>
      </w:r>
      <w:r w:rsidR="00582192" w:rsidRPr="00876B03">
        <w:rPr>
          <w:lang w:val="fr-CA"/>
        </w:rPr>
        <w:t xml:space="preserve">importance </w:t>
      </w:r>
      <w:r w:rsidR="00111E9C">
        <w:rPr>
          <w:lang w:val="fr-CA"/>
        </w:rPr>
        <w:t>d’insister sur leurs droits et leur autonomisation</w:t>
      </w:r>
      <w:r w:rsidR="006D6C11" w:rsidRPr="00876B03">
        <w:rPr>
          <w:lang w:val="fr-CA"/>
        </w:rPr>
        <w:t>,</w:t>
      </w:r>
      <w:r w:rsidR="002F6193" w:rsidRPr="00876B03">
        <w:rPr>
          <w:lang w:val="fr-CA"/>
        </w:rPr>
        <w:t xml:space="preserve"> </w:t>
      </w:r>
      <w:r w:rsidR="00111E9C">
        <w:rPr>
          <w:lang w:val="fr-CA"/>
        </w:rPr>
        <w:t>qui inclut les considérer comme des agent</w:t>
      </w:r>
      <w:r w:rsidR="004E079D">
        <w:rPr>
          <w:lang w:val="fr-CA"/>
        </w:rPr>
        <w:t>e</w:t>
      </w:r>
      <w:r w:rsidR="00111E9C">
        <w:rPr>
          <w:lang w:val="fr-CA"/>
        </w:rPr>
        <w:t>s du changement et s’attaquer aux causes qui sont à la source de l’inégalité persistante (p. ex. la discrimination juridique, les normes sociales nocives qui limitent les possibilités</w:t>
      </w:r>
      <w:r w:rsidR="004E079D">
        <w:rPr>
          <w:lang w:val="fr-CA"/>
        </w:rPr>
        <w:t xml:space="preserve"> et</w:t>
      </w:r>
      <w:r w:rsidR="00111E9C">
        <w:rPr>
          <w:lang w:val="fr-CA"/>
        </w:rPr>
        <w:t xml:space="preserve"> les relations de pouvoir inégales</w:t>
      </w:r>
      <w:r w:rsidR="00582192" w:rsidRPr="00876B03">
        <w:rPr>
          <w:lang w:val="fr-CA"/>
        </w:rPr>
        <w:t>). </w:t>
      </w:r>
    </w:p>
    <w:p w:rsidR="0021037B" w:rsidRPr="00876B03" w:rsidRDefault="0021037B" w:rsidP="00343834">
      <w:pPr>
        <w:rPr>
          <w:highlight w:val="yellow"/>
          <w:lang w:val="fr-CA"/>
        </w:rPr>
      </w:pPr>
    </w:p>
    <w:p w:rsidR="00786BD9" w:rsidRPr="00876B03" w:rsidRDefault="0021037B" w:rsidP="00582192">
      <w:pPr>
        <w:shd w:val="clear" w:color="auto" w:fill="FFFFFF"/>
        <w:spacing w:after="240"/>
        <w:rPr>
          <w:rFonts w:cs="Calibri"/>
          <w:lang w:val="fr-CA"/>
        </w:rPr>
      </w:pPr>
      <w:r w:rsidRPr="00876B03">
        <w:rPr>
          <w:b/>
          <w:lang w:val="fr-CA"/>
        </w:rPr>
        <w:t>S</w:t>
      </w:r>
      <w:r w:rsidR="00DB3CC4">
        <w:rPr>
          <w:b/>
          <w:lang w:val="fr-CA"/>
        </w:rPr>
        <w:t>outien et financement aux organisations et aux mouvements de défense des droits des femmes </w:t>
      </w:r>
      <w:r w:rsidRPr="00876B03">
        <w:rPr>
          <w:b/>
          <w:lang w:val="fr-CA"/>
        </w:rPr>
        <w:t>:</w:t>
      </w:r>
      <w:r w:rsidR="005245AC" w:rsidRPr="00876B03">
        <w:rPr>
          <w:b/>
          <w:lang w:val="fr-CA"/>
        </w:rPr>
        <w:t xml:space="preserve"> </w:t>
      </w:r>
      <w:r w:rsidR="00DB3CC4">
        <w:rPr>
          <w:rFonts w:cs="Calibri"/>
          <w:lang w:val="fr-CA"/>
        </w:rPr>
        <w:t xml:space="preserve">La nécessité de financement de base et de renforcement des capacités à long terme à des organisations et à des mouvements de défense des droits des femmes à l’échelle locale et régionale a été soulevée à maintes reprises. Ces organisations </w:t>
      </w:r>
      <w:r w:rsidR="00081D5D">
        <w:rPr>
          <w:rFonts w:cs="Calibri"/>
          <w:lang w:val="fr-CA"/>
        </w:rPr>
        <w:t>sont d’importants alliés qui devraient être consultés, tant au sujet des questions qui touchent les droits des femmes que de tous les enjeux de développement</w:t>
      </w:r>
      <w:r w:rsidR="002F6193" w:rsidRPr="00876B03">
        <w:rPr>
          <w:rFonts w:cs="Calibri"/>
          <w:lang w:val="fr-CA"/>
        </w:rPr>
        <w:t xml:space="preserve">. </w:t>
      </w:r>
      <w:r w:rsidR="00081D5D">
        <w:rPr>
          <w:rFonts w:cs="Calibri"/>
          <w:lang w:val="fr-CA"/>
        </w:rPr>
        <w:t xml:space="preserve">Des efforts doivent </w:t>
      </w:r>
      <w:r w:rsidR="00144B54">
        <w:rPr>
          <w:rFonts w:cs="Calibri"/>
          <w:lang w:val="fr-CA"/>
        </w:rPr>
        <w:t xml:space="preserve">également </w:t>
      </w:r>
      <w:r w:rsidR="00081D5D">
        <w:rPr>
          <w:rFonts w:cs="Calibri"/>
          <w:lang w:val="fr-CA"/>
        </w:rPr>
        <w:t xml:space="preserve">être déployés pour protéger les </w:t>
      </w:r>
      <w:r w:rsidR="001C072E">
        <w:rPr>
          <w:rFonts w:cs="Calibri"/>
          <w:lang w:val="fr-CA"/>
        </w:rPr>
        <w:t>défenseurs</w:t>
      </w:r>
      <w:r w:rsidR="00081D5D">
        <w:rPr>
          <w:rFonts w:cs="Calibri"/>
          <w:lang w:val="fr-CA"/>
        </w:rPr>
        <w:t xml:space="preserve"> des droits</w:t>
      </w:r>
      <w:r w:rsidR="00DA5505">
        <w:rPr>
          <w:rFonts w:cs="Calibri"/>
          <w:lang w:val="fr-CA"/>
        </w:rPr>
        <w:t xml:space="preserve"> fondamentaux des femmes, qui s</w:t>
      </w:r>
      <w:r w:rsidR="00081D5D">
        <w:rPr>
          <w:rFonts w:cs="Calibri"/>
          <w:lang w:val="fr-CA"/>
        </w:rPr>
        <w:t>ont</w:t>
      </w:r>
      <w:r w:rsidR="00144B54">
        <w:rPr>
          <w:rFonts w:cs="Calibri"/>
          <w:lang w:val="fr-CA"/>
        </w:rPr>
        <w:t xml:space="preserve"> </w:t>
      </w:r>
      <w:r w:rsidR="00081D5D">
        <w:rPr>
          <w:rFonts w:cs="Calibri"/>
          <w:lang w:val="fr-CA"/>
        </w:rPr>
        <w:t xml:space="preserve">de plus en plus </w:t>
      </w:r>
      <w:r w:rsidR="00BD4868">
        <w:rPr>
          <w:rFonts w:cs="Calibri"/>
          <w:lang w:val="fr-CA"/>
        </w:rPr>
        <w:t>menacés. L’appui aux mécanismes nationaux chargés de la condition féminine</w:t>
      </w:r>
      <w:r w:rsidR="00AB1CD6">
        <w:rPr>
          <w:rFonts w:cs="Calibri"/>
          <w:lang w:val="fr-CA"/>
        </w:rPr>
        <w:t xml:space="preserve"> </w:t>
      </w:r>
      <w:r w:rsidR="00144B54">
        <w:rPr>
          <w:rFonts w:cs="Calibri"/>
          <w:lang w:val="fr-CA"/>
        </w:rPr>
        <w:t>(</w:t>
      </w:r>
      <w:r w:rsidR="00BD4868">
        <w:rPr>
          <w:rFonts w:cs="Calibri"/>
          <w:lang w:val="fr-CA"/>
        </w:rPr>
        <w:t xml:space="preserve">p. ex.  </w:t>
      </w:r>
      <w:r w:rsidR="001C072E">
        <w:rPr>
          <w:rFonts w:cs="Calibri"/>
          <w:lang w:val="fr-CA"/>
        </w:rPr>
        <w:t xml:space="preserve">les </w:t>
      </w:r>
      <w:r w:rsidR="00144B54">
        <w:rPr>
          <w:rFonts w:cs="Calibri"/>
          <w:lang w:val="fr-CA"/>
        </w:rPr>
        <w:t xml:space="preserve">personnes responsables </w:t>
      </w:r>
      <w:r w:rsidR="001C072E">
        <w:rPr>
          <w:rFonts w:cs="Calibri"/>
          <w:lang w:val="fr-CA"/>
        </w:rPr>
        <w:t xml:space="preserve">de la Condition féminine </w:t>
      </w:r>
      <w:r w:rsidR="00AB1CD6">
        <w:rPr>
          <w:rFonts w:cs="Calibri"/>
          <w:lang w:val="fr-CA"/>
        </w:rPr>
        <w:t>dans d’autres pays</w:t>
      </w:r>
      <w:r w:rsidR="0012421C" w:rsidRPr="00876B03">
        <w:rPr>
          <w:rFonts w:cs="Calibri"/>
          <w:lang w:val="fr-CA"/>
        </w:rPr>
        <w:t xml:space="preserve">) </w:t>
      </w:r>
      <w:r w:rsidR="00AB1CD6">
        <w:rPr>
          <w:rFonts w:cs="Calibri"/>
          <w:lang w:val="fr-CA"/>
        </w:rPr>
        <w:t>est une stratégie complémentaire fondamentale dans la création de ce mouvement.</w:t>
      </w:r>
    </w:p>
    <w:p w:rsidR="005245AC" w:rsidRPr="00876B03" w:rsidRDefault="00D25976" w:rsidP="00650374">
      <w:pPr>
        <w:shd w:val="clear" w:color="auto" w:fill="FFFFFF"/>
        <w:spacing w:after="240"/>
        <w:rPr>
          <w:lang w:val="fr-CA"/>
        </w:rPr>
      </w:pPr>
      <w:r>
        <w:rPr>
          <w:rFonts w:cs="Calibri"/>
          <w:lang w:val="fr-CA"/>
        </w:rPr>
        <w:t>Des interv</w:t>
      </w:r>
      <w:r w:rsidR="00E941C7">
        <w:rPr>
          <w:rFonts w:cs="Calibri"/>
          <w:lang w:val="fr-CA"/>
        </w:rPr>
        <w:t xml:space="preserve">enants ont accru la réussite à l’aide des fonds </w:t>
      </w:r>
      <w:r w:rsidR="0021106A">
        <w:rPr>
          <w:rFonts w:cs="Calibri"/>
          <w:lang w:val="fr-CA"/>
        </w:rPr>
        <w:t xml:space="preserve">régionaux et nationaux </w:t>
      </w:r>
      <w:r w:rsidR="00E941C7">
        <w:rPr>
          <w:rFonts w:cs="Calibri"/>
          <w:lang w:val="fr-CA"/>
        </w:rPr>
        <w:t xml:space="preserve">antérieurs </w:t>
      </w:r>
      <w:r w:rsidR="0021106A">
        <w:rPr>
          <w:rFonts w:cs="Calibri"/>
          <w:lang w:val="fr-CA"/>
        </w:rPr>
        <w:t xml:space="preserve">en faveur de </w:t>
      </w:r>
      <w:r w:rsidR="00E941C7">
        <w:rPr>
          <w:rFonts w:cs="Calibri"/>
          <w:lang w:val="fr-CA"/>
        </w:rPr>
        <w:t>l’</w:t>
      </w:r>
      <w:r w:rsidR="0021106A">
        <w:rPr>
          <w:rFonts w:cs="Calibri"/>
          <w:lang w:val="fr-CA"/>
        </w:rPr>
        <w:t>égalité entre les sexes</w:t>
      </w:r>
      <w:r w:rsidR="00837A93">
        <w:rPr>
          <w:lang w:val="fr-CA"/>
        </w:rPr>
        <w:t xml:space="preserve">, mais </w:t>
      </w:r>
      <w:r w:rsidR="0021106A">
        <w:rPr>
          <w:lang w:val="fr-CA"/>
        </w:rPr>
        <w:t xml:space="preserve">ils </w:t>
      </w:r>
      <w:r w:rsidR="00837A93">
        <w:rPr>
          <w:lang w:val="fr-CA"/>
        </w:rPr>
        <w:t xml:space="preserve">ont aussi encouragé le </w:t>
      </w:r>
      <w:r w:rsidR="00081614" w:rsidRPr="00876B03">
        <w:rPr>
          <w:rFonts w:cs="Calibri"/>
          <w:lang w:val="fr-CA"/>
        </w:rPr>
        <w:t xml:space="preserve">Canada </w:t>
      </w:r>
      <w:r w:rsidR="00837A93">
        <w:rPr>
          <w:rFonts w:cs="Calibri"/>
          <w:lang w:val="fr-CA"/>
        </w:rPr>
        <w:t xml:space="preserve">à être </w:t>
      </w:r>
      <w:r w:rsidR="00E941C7">
        <w:rPr>
          <w:rFonts w:cs="Calibri"/>
          <w:lang w:val="fr-CA"/>
        </w:rPr>
        <w:t>ambitieux et novateur</w:t>
      </w:r>
      <w:r w:rsidR="00837A93">
        <w:rPr>
          <w:rFonts w:cs="Calibri"/>
          <w:lang w:val="fr-CA"/>
        </w:rPr>
        <w:t xml:space="preserve"> </w:t>
      </w:r>
      <w:r w:rsidR="009B183B">
        <w:rPr>
          <w:rFonts w:cs="Calibri"/>
          <w:lang w:val="fr-CA"/>
        </w:rPr>
        <w:t>lorsqu’il examine les mécanismes de financement</w:t>
      </w:r>
      <w:r w:rsidR="0012209B" w:rsidRPr="00876B03">
        <w:rPr>
          <w:rFonts w:cs="Calibri"/>
          <w:lang w:val="fr-CA"/>
        </w:rPr>
        <w:t xml:space="preserve">, </w:t>
      </w:r>
      <w:r w:rsidR="009B183B">
        <w:rPr>
          <w:rFonts w:cs="Calibri"/>
          <w:lang w:val="fr-CA"/>
        </w:rPr>
        <w:t xml:space="preserve">en citant les subventions </w:t>
      </w:r>
      <w:r w:rsidR="0012209B" w:rsidRPr="00876B03">
        <w:rPr>
          <w:lang w:val="fr-CA"/>
        </w:rPr>
        <w:t>FLOW (Funding Leadership and Opportunities for Women</w:t>
      </w:r>
      <w:r w:rsidR="00C824EA">
        <w:rPr>
          <w:lang w:val="fr-CA"/>
        </w:rPr>
        <w:t xml:space="preserve"> [Traduction : financement du leadership et des débouchés pour les femmes] </w:t>
      </w:r>
      <w:r w:rsidR="0012209B" w:rsidRPr="00876B03">
        <w:rPr>
          <w:lang w:val="fr-CA"/>
        </w:rPr>
        <w:t xml:space="preserve">) </w:t>
      </w:r>
      <w:r w:rsidR="009B183B">
        <w:rPr>
          <w:lang w:val="fr-CA"/>
        </w:rPr>
        <w:t>des Pays-Bas comme un exemple et en proposant un instrument de financement national pour appuyer des organisations de différentes tailles</w:t>
      </w:r>
      <w:r w:rsidR="0012209B" w:rsidRPr="00876B03">
        <w:rPr>
          <w:lang w:val="fr-CA"/>
        </w:rPr>
        <w:t>.</w:t>
      </w:r>
      <w:r w:rsidR="006D6C11" w:rsidRPr="00876B03">
        <w:rPr>
          <w:rFonts w:cs="Calibri"/>
          <w:lang w:val="fr-CA"/>
        </w:rPr>
        <w:t xml:space="preserve"> </w:t>
      </w:r>
      <w:r w:rsidR="009B183B">
        <w:rPr>
          <w:rFonts w:cs="Calibri"/>
          <w:lang w:val="fr-CA"/>
        </w:rPr>
        <w:t>Le Fonds canadien des initiatives locales (FCIL</w:t>
      </w:r>
      <w:r w:rsidR="002B4385">
        <w:rPr>
          <w:rFonts w:cs="Calibri"/>
          <w:lang w:val="fr-CA"/>
        </w:rPr>
        <w:t xml:space="preserve">) est considéré comme un mécanisme de soutien des initiatives en matière d’égalité entre les sexes, sa nature à petite échelle et à court terme pourrait être perçue comme étant insuffisante pour répondre aux besoins importants et à long terme des organisations </w:t>
      </w:r>
      <w:r w:rsidR="00C824EA">
        <w:rPr>
          <w:rFonts w:cs="Calibri"/>
          <w:lang w:val="fr-CA"/>
        </w:rPr>
        <w:t xml:space="preserve">de défense des </w:t>
      </w:r>
      <w:r w:rsidR="002B4385">
        <w:rPr>
          <w:rFonts w:cs="Calibri"/>
          <w:lang w:val="fr-CA"/>
        </w:rPr>
        <w:t>droits des femmes</w:t>
      </w:r>
      <w:r w:rsidR="0012209B" w:rsidRPr="00876B03">
        <w:rPr>
          <w:rFonts w:cs="Calibri"/>
          <w:lang w:val="fr-CA"/>
        </w:rPr>
        <w:t>.</w:t>
      </w:r>
      <w:r w:rsidR="0012421C" w:rsidRPr="00876B03">
        <w:rPr>
          <w:rFonts w:cs="Calibri"/>
          <w:lang w:val="fr-CA"/>
        </w:rPr>
        <w:t xml:space="preserve"> </w:t>
      </w:r>
    </w:p>
    <w:p w:rsidR="005834CB" w:rsidRPr="00876B03" w:rsidRDefault="002B4385" w:rsidP="005834CB">
      <w:pPr>
        <w:rPr>
          <w:lang w:val="fr-CA"/>
        </w:rPr>
      </w:pPr>
      <w:r>
        <w:rPr>
          <w:b/>
          <w:lang w:val="fr-CA"/>
        </w:rPr>
        <w:t>Équilibrer les interventions sociales et l’autonomisation politique et économique </w:t>
      </w:r>
      <w:r w:rsidR="00321468" w:rsidRPr="00876B03">
        <w:rPr>
          <w:lang w:val="fr-CA"/>
        </w:rPr>
        <w:t xml:space="preserve">: </w:t>
      </w:r>
      <w:r>
        <w:rPr>
          <w:lang w:val="fr-CA"/>
        </w:rPr>
        <w:t xml:space="preserve">D’après les principales leçons tirées des Objectifs du Millénaire pour le développement (OMD), des intervenants </w:t>
      </w:r>
      <w:r w:rsidR="0040298C">
        <w:rPr>
          <w:lang w:val="fr-CA"/>
        </w:rPr>
        <w:t xml:space="preserve">encouragent fortement le dépassement des efforts pour orienter l’approche à l’égard des </w:t>
      </w:r>
      <w:r w:rsidR="00AA23F7">
        <w:rPr>
          <w:lang w:val="fr-CA"/>
        </w:rPr>
        <w:t>questions</w:t>
      </w:r>
      <w:r w:rsidR="003F78CF">
        <w:rPr>
          <w:lang w:val="fr-CA"/>
        </w:rPr>
        <w:t xml:space="preserve"> sociales </w:t>
      </w:r>
      <w:r w:rsidR="006D6C11" w:rsidRPr="00876B03">
        <w:rPr>
          <w:lang w:val="fr-CA"/>
        </w:rPr>
        <w:t>(</w:t>
      </w:r>
      <w:r w:rsidR="003F78CF">
        <w:rPr>
          <w:lang w:val="fr-CA"/>
        </w:rPr>
        <w:t>dont la santé</w:t>
      </w:r>
      <w:r w:rsidR="006D6C11" w:rsidRPr="00876B03">
        <w:rPr>
          <w:lang w:val="fr-CA"/>
        </w:rPr>
        <w:t>)</w:t>
      </w:r>
      <w:r w:rsidR="00321468" w:rsidRPr="00876B03">
        <w:rPr>
          <w:lang w:val="fr-CA"/>
        </w:rPr>
        <w:t xml:space="preserve"> </w:t>
      </w:r>
      <w:r w:rsidR="003F78CF">
        <w:rPr>
          <w:lang w:val="fr-CA"/>
        </w:rPr>
        <w:t xml:space="preserve">dans le cadre d’un appel plus vaste qui inclut </w:t>
      </w:r>
      <w:r w:rsidR="00AA23F7">
        <w:rPr>
          <w:lang w:val="fr-CA"/>
        </w:rPr>
        <w:t xml:space="preserve">l’autonomisation économique et </w:t>
      </w:r>
      <w:r w:rsidR="00AA23F7">
        <w:rPr>
          <w:lang w:val="fr-CA"/>
        </w:rPr>
        <w:lastRenderedPageBreak/>
        <w:t xml:space="preserve">politique des </w:t>
      </w:r>
      <w:r w:rsidR="00DA6014">
        <w:rPr>
          <w:lang w:val="fr-CA"/>
        </w:rPr>
        <w:t xml:space="preserve">femmes par l’entremise </w:t>
      </w:r>
      <w:r w:rsidR="00705015">
        <w:rPr>
          <w:lang w:val="fr-CA"/>
        </w:rPr>
        <w:t>de la promotion de possibilités de moyens de subsistance et la participation à l’économie de leur pays</w:t>
      </w:r>
      <w:r w:rsidR="001C130A">
        <w:rPr>
          <w:lang w:val="fr-CA"/>
        </w:rPr>
        <w:t xml:space="preserve">, à la politique et à l’inclusion dans la gouvernance à tous les échelons </w:t>
      </w:r>
      <w:r w:rsidR="00321468" w:rsidRPr="00876B03">
        <w:rPr>
          <w:lang w:val="fr-CA"/>
        </w:rPr>
        <w:t xml:space="preserve">– </w:t>
      </w:r>
      <w:r w:rsidR="001C130A">
        <w:rPr>
          <w:lang w:val="fr-CA"/>
        </w:rPr>
        <w:t xml:space="preserve">gouvernement, société civile et </w:t>
      </w:r>
      <w:r w:rsidR="00DA6014">
        <w:rPr>
          <w:lang w:val="fr-CA"/>
        </w:rPr>
        <w:t>milieu des affaires</w:t>
      </w:r>
      <w:r w:rsidR="001C130A">
        <w:rPr>
          <w:lang w:val="fr-CA"/>
        </w:rPr>
        <w:t xml:space="preserve"> ainsi que l’accès à une aide juridique pour </w:t>
      </w:r>
      <w:r w:rsidR="002040EC">
        <w:rPr>
          <w:lang w:val="fr-CA"/>
        </w:rPr>
        <w:t xml:space="preserve">s’attaquer à des points tels que la </w:t>
      </w:r>
      <w:r w:rsidR="004340E8" w:rsidRPr="00876B03">
        <w:rPr>
          <w:lang w:val="fr-CA"/>
        </w:rPr>
        <w:t xml:space="preserve">discrimination </w:t>
      </w:r>
      <w:r w:rsidR="002040EC">
        <w:rPr>
          <w:lang w:val="fr-CA"/>
        </w:rPr>
        <w:t xml:space="preserve">et la </w:t>
      </w:r>
      <w:r w:rsidR="004340E8" w:rsidRPr="00876B03">
        <w:rPr>
          <w:lang w:val="fr-CA"/>
        </w:rPr>
        <w:t>violence. </w:t>
      </w:r>
      <w:r w:rsidR="002040EC">
        <w:rPr>
          <w:lang w:val="fr-CA"/>
        </w:rPr>
        <w:t xml:space="preserve">L’accent qui est mis actuellement </w:t>
      </w:r>
      <w:r w:rsidR="00AE471F">
        <w:rPr>
          <w:lang w:val="fr-CA"/>
        </w:rPr>
        <w:t>sur la s</w:t>
      </w:r>
      <w:r w:rsidR="002040EC">
        <w:rPr>
          <w:lang w:val="fr-CA"/>
        </w:rPr>
        <w:t xml:space="preserve">anté et </w:t>
      </w:r>
      <w:r w:rsidR="00AE471F">
        <w:rPr>
          <w:lang w:val="fr-CA"/>
        </w:rPr>
        <w:t>le</w:t>
      </w:r>
      <w:r w:rsidR="002040EC">
        <w:rPr>
          <w:lang w:val="fr-CA"/>
        </w:rPr>
        <w:t xml:space="preserve">s droits des femmes et des filles, </w:t>
      </w:r>
      <w:r w:rsidR="00AE471F">
        <w:rPr>
          <w:lang w:val="fr-CA"/>
        </w:rPr>
        <w:t>afin qu’il soit élargi</w:t>
      </w:r>
      <w:r w:rsidR="00A73568">
        <w:rPr>
          <w:lang w:val="fr-CA"/>
        </w:rPr>
        <w:t xml:space="preserve"> pour tenir compte de ceux-ci ainsi que des enjeux structurels, tels que les normes </w:t>
      </w:r>
      <w:r w:rsidR="00A471AD">
        <w:rPr>
          <w:lang w:val="fr-CA"/>
        </w:rPr>
        <w:t>liées au</w:t>
      </w:r>
      <w:r w:rsidR="00753C1A">
        <w:rPr>
          <w:lang w:val="fr-CA"/>
        </w:rPr>
        <w:t>x</w:t>
      </w:r>
      <w:r w:rsidR="00A471AD">
        <w:rPr>
          <w:lang w:val="fr-CA"/>
        </w:rPr>
        <w:t xml:space="preserve"> sex</w:t>
      </w:r>
      <w:r w:rsidR="00753C1A">
        <w:rPr>
          <w:lang w:val="fr-CA"/>
        </w:rPr>
        <w:t>es</w:t>
      </w:r>
      <w:r w:rsidR="00540BA7" w:rsidRPr="00876B03">
        <w:rPr>
          <w:lang w:val="fr-CA"/>
        </w:rPr>
        <w:t xml:space="preserve">. </w:t>
      </w:r>
      <w:r w:rsidR="006D6C11" w:rsidRPr="00876B03">
        <w:rPr>
          <w:lang w:val="fr-CA"/>
        </w:rPr>
        <w:t xml:space="preserve"> </w:t>
      </w:r>
    </w:p>
    <w:p w:rsidR="00E11A16" w:rsidRPr="00876B03" w:rsidRDefault="00E11A16" w:rsidP="0017349F">
      <w:pPr>
        <w:rPr>
          <w:b/>
          <w:lang w:val="fr-CA"/>
        </w:rPr>
      </w:pPr>
    </w:p>
    <w:p w:rsidR="005245AC" w:rsidRPr="00876B03" w:rsidRDefault="00165B8A" w:rsidP="0017349F">
      <w:pPr>
        <w:rPr>
          <w:rFonts w:cs="Calibri"/>
          <w:lang w:val="fr-CA"/>
        </w:rPr>
      </w:pPr>
      <w:r w:rsidRPr="00DA6014">
        <w:rPr>
          <w:b/>
          <w:lang w:val="fr-CA"/>
        </w:rPr>
        <w:t>L’égalité</w:t>
      </w:r>
      <w:r>
        <w:rPr>
          <w:b/>
          <w:lang w:val="fr-CA"/>
        </w:rPr>
        <w:t xml:space="preserve"> entre les sexes, en tant que priorité autonome, est essentielle </w:t>
      </w:r>
      <w:r w:rsidR="00DA6014">
        <w:rPr>
          <w:lang w:val="fr-CA"/>
        </w:rPr>
        <w:t>: D</w:t>
      </w:r>
      <w:r w:rsidRPr="00165B8A">
        <w:rPr>
          <w:lang w:val="fr-CA"/>
        </w:rPr>
        <w:t xml:space="preserve">e nombreux  </w:t>
      </w:r>
      <w:r>
        <w:rPr>
          <w:lang w:val="fr-CA"/>
        </w:rPr>
        <w:t>intervenants ont soulevé l’</w:t>
      </w:r>
      <w:r w:rsidR="00E11A16" w:rsidRPr="00876B03">
        <w:rPr>
          <w:lang w:val="fr-CA"/>
        </w:rPr>
        <w:t xml:space="preserve">importance </w:t>
      </w:r>
      <w:r w:rsidR="00462A74">
        <w:rPr>
          <w:lang w:val="fr-CA"/>
        </w:rPr>
        <w:t>de programmes ciblés sur l’égalité entre les sexes et l</w:t>
      </w:r>
      <w:r w:rsidR="00753C1A">
        <w:rPr>
          <w:lang w:val="fr-CA"/>
        </w:rPr>
        <w:t>a nécessité de se doter d’un pilier distinct consacré à cette priorité thématique pour veiller à lui accorder suffisamment d’attention et de financement.</w:t>
      </w:r>
      <w:r w:rsidR="00E11A16" w:rsidRPr="00876B03">
        <w:rPr>
          <w:lang w:val="fr-CA"/>
        </w:rPr>
        <w:t xml:space="preserve"> </w:t>
      </w:r>
      <w:r w:rsidR="00753C1A">
        <w:rPr>
          <w:lang w:val="fr-CA"/>
        </w:rPr>
        <w:t>Ces efforts sont essentiels puisque nous voyons encore des femmes et des filles qui ne profitent pas des avantages du développement comme elles le devraient</w:t>
      </w:r>
      <w:r w:rsidR="00114A56" w:rsidRPr="00876B03">
        <w:rPr>
          <w:lang w:val="fr-CA"/>
        </w:rPr>
        <w:t xml:space="preserve">. </w:t>
      </w:r>
      <w:r w:rsidR="00753C1A">
        <w:rPr>
          <w:lang w:val="fr-CA"/>
        </w:rPr>
        <w:t>Les défenseurs des droits des femmes ont travaillé très fort pour s’assurer que la communauté internationale adopterait un objectif autonome sur l’égalité entre les sexes dans le Programme de développement à l’horizon 2030.</w:t>
      </w:r>
      <w:r w:rsidR="006D6C11" w:rsidRPr="00876B03">
        <w:rPr>
          <w:rFonts w:cs="Calibri"/>
          <w:lang w:val="fr-CA"/>
        </w:rPr>
        <w:t xml:space="preserve"> </w:t>
      </w:r>
      <w:r w:rsidR="00753C1A">
        <w:rPr>
          <w:rFonts w:cs="Calibri"/>
          <w:lang w:val="fr-CA"/>
        </w:rPr>
        <w:t>Ils ont souligné la nécessité d’un</w:t>
      </w:r>
      <w:r w:rsidR="00AE353D">
        <w:rPr>
          <w:rFonts w:cs="Calibri"/>
          <w:lang w:val="fr-CA"/>
        </w:rPr>
        <w:t>e</w:t>
      </w:r>
      <w:r w:rsidR="00753C1A">
        <w:rPr>
          <w:rFonts w:cs="Calibri"/>
          <w:lang w:val="fr-CA"/>
        </w:rPr>
        <w:t xml:space="preserve"> approche </w:t>
      </w:r>
      <w:r w:rsidR="00AE353D">
        <w:rPr>
          <w:rFonts w:cs="Calibri"/>
          <w:lang w:val="fr-CA"/>
        </w:rPr>
        <w:t xml:space="preserve">à deux volets : </w:t>
      </w:r>
      <w:r w:rsidR="006A4A98">
        <w:rPr>
          <w:rFonts w:cs="Calibri"/>
          <w:lang w:val="fr-CA"/>
        </w:rPr>
        <w:t>l’égalité entre les sexes</w:t>
      </w:r>
      <w:r w:rsidR="00AE353D">
        <w:rPr>
          <w:rFonts w:cs="Calibri"/>
          <w:lang w:val="fr-CA"/>
        </w:rPr>
        <w:t>,</w:t>
      </w:r>
      <w:r w:rsidR="006A4A98">
        <w:rPr>
          <w:rFonts w:cs="Calibri"/>
          <w:lang w:val="fr-CA"/>
        </w:rPr>
        <w:t xml:space="preserve"> en tant que priorité </w:t>
      </w:r>
      <w:r w:rsidR="00534C7A">
        <w:rPr>
          <w:rFonts w:cs="Calibri"/>
          <w:lang w:val="fr-CA"/>
        </w:rPr>
        <w:t>autonome</w:t>
      </w:r>
      <w:r w:rsidR="00B62E29" w:rsidRPr="00876B03">
        <w:rPr>
          <w:rFonts w:cs="Calibri"/>
          <w:lang w:val="fr-CA"/>
        </w:rPr>
        <w:t xml:space="preserve"> </w:t>
      </w:r>
      <w:r w:rsidR="006A4A98">
        <w:rPr>
          <w:rFonts w:cs="Calibri"/>
          <w:lang w:val="fr-CA"/>
        </w:rPr>
        <w:t xml:space="preserve">ainsi qu’en tant que thème transversal dans les autres priorités de développement. Plusieurs intervenants ont donné des exemples </w:t>
      </w:r>
      <w:r w:rsidR="00534C7A">
        <w:rPr>
          <w:rFonts w:cs="Calibri"/>
          <w:lang w:val="fr-CA"/>
        </w:rPr>
        <w:t>sur</w:t>
      </w:r>
      <w:r w:rsidR="006A4A98">
        <w:rPr>
          <w:rFonts w:cs="Calibri"/>
          <w:lang w:val="fr-CA"/>
        </w:rPr>
        <w:t xml:space="preserve"> la manière dont les investissements dans les programmes </w:t>
      </w:r>
      <w:r w:rsidR="00534C7A">
        <w:rPr>
          <w:rFonts w:cs="Calibri"/>
          <w:lang w:val="fr-CA"/>
        </w:rPr>
        <w:t xml:space="preserve">ciblés </w:t>
      </w:r>
      <w:r w:rsidR="006A4A98">
        <w:rPr>
          <w:rFonts w:cs="Calibri"/>
          <w:lang w:val="fr-CA"/>
        </w:rPr>
        <w:t xml:space="preserve">sur l’égalité entre les sexes </w:t>
      </w:r>
      <w:r w:rsidR="00534C7A">
        <w:rPr>
          <w:rFonts w:cs="Calibri"/>
          <w:lang w:val="fr-CA"/>
        </w:rPr>
        <w:t>ont permis à leurs partenaires locaux d’être plus efficaces pour s’attaquer aux questions liées à l’égalité entre les sexes de manière intégrée dans tous les domaines.</w:t>
      </w:r>
      <w:r w:rsidR="00B62E29" w:rsidRPr="00876B03">
        <w:rPr>
          <w:rFonts w:cs="Calibri"/>
          <w:lang w:val="fr-CA"/>
        </w:rPr>
        <w:t> </w:t>
      </w:r>
    </w:p>
    <w:p w:rsidR="00B62E29" w:rsidRPr="00876B03" w:rsidRDefault="00B62E29" w:rsidP="0017349F">
      <w:pPr>
        <w:rPr>
          <w:rFonts w:cs="Calibri"/>
          <w:lang w:val="fr-CA"/>
        </w:rPr>
      </w:pPr>
    </w:p>
    <w:p w:rsidR="00B62E29" w:rsidRPr="001879E6" w:rsidRDefault="00534C7A" w:rsidP="0017349F">
      <w:pPr>
        <w:rPr>
          <w:rFonts w:cs="Calibri"/>
          <w:lang w:val="fr-CA"/>
        </w:rPr>
      </w:pPr>
      <w:r>
        <w:rPr>
          <w:rFonts w:cs="Calibri"/>
          <w:b/>
          <w:lang w:val="fr-CA"/>
        </w:rPr>
        <w:t xml:space="preserve">Le renforcement d’efforts pour obtenir des résultats en matière d’égalité entre les sexes dans l’ensemble des domaines : </w:t>
      </w:r>
      <w:r>
        <w:rPr>
          <w:rFonts w:cs="Calibri"/>
          <w:lang w:val="fr-CA"/>
        </w:rPr>
        <w:t xml:space="preserve">L’égalité entre les sexes devrait être </w:t>
      </w:r>
      <w:r w:rsidR="001879E6">
        <w:rPr>
          <w:rFonts w:cs="Calibri"/>
          <w:lang w:val="fr-CA"/>
        </w:rPr>
        <w:t xml:space="preserve">une importante perspective au moyen de laquelle nous </w:t>
      </w:r>
      <w:r>
        <w:rPr>
          <w:rFonts w:cs="Calibri"/>
          <w:lang w:val="fr-CA"/>
        </w:rPr>
        <w:t>examinons les enjeux de développement</w:t>
      </w:r>
      <w:r w:rsidR="00E11A16" w:rsidRPr="00876B03">
        <w:rPr>
          <w:rFonts w:cs="Calibri"/>
          <w:lang w:val="fr-CA"/>
        </w:rPr>
        <w:t xml:space="preserve">. </w:t>
      </w:r>
      <w:r>
        <w:rPr>
          <w:rFonts w:cs="Calibri"/>
          <w:lang w:val="fr-CA"/>
        </w:rPr>
        <w:t xml:space="preserve">Nous devons améliorer nos compétences et </w:t>
      </w:r>
      <w:r w:rsidR="001879E6">
        <w:rPr>
          <w:rFonts w:cs="Calibri"/>
          <w:lang w:val="fr-CA"/>
        </w:rPr>
        <w:t>mettre l’accent sur l’égalité entre les sexes dans notre travail dans tous les domaines (p. ex. les changements climatiques, l’aide humanitaire, les droits sexuels et génésiques, le pluralisme et l’accès à la justice).</w:t>
      </w:r>
    </w:p>
    <w:p w:rsidR="005245AC" w:rsidRPr="00876B03" w:rsidRDefault="005245AC" w:rsidP="0017349F">
      <w:pPr>
        <w:rPr>
          <w:b/>
          <w:lang w:val="fr-CA"/>
        </w:rPr>
      </w:pPr>
    </w:p>
    <w:p w:rsidR="00EB5B4F" w:rsidRPr="00876B03" w:rsidRDefault="001879E6" w:rsidP="004340E8">
      <w:pPr>
        <w:rPr>
          <w:lang w:val="fr-CA"/>
        </w:rPr>
      </w:pPr>
      <w:r>
        <w:rPr>
          <w:b/>
          <w:lang w:val="fr-CA"/>
        </w:rPr>
        <w:t>Transformation des normes sexistes nuisibles </w:t>
      </w:r>
      <w:r w:rsidR="000730A3" w:rsidRPr="00876B03">
        <w:rPr>
          <w:b/>
          <w:lang w:val="fr-CA"/>
        </w:rPr>
        <w:t>:</w:t>
      </w:r>
      <w:r w:rsidR="000730A3" w:rsidRPr="001879E6">
        <w:rPr>
          <w:lang w:val="fr-CA"/>
        </w:rPr>
        <w:t xml:space="preserve"> </w:t>
      </w:r>
      <w:r w:rsidRPr="001879E6">
        <w:rPr>
          <w:lang w:val="fr-CA"/>
        </w:rPr>
        <w:t xml:space="preserve">Un certain nombre d’intervenants ont soulevé la nécessité de s’efforcer </w:t>
      </w:r>
      <w:r>
        <w:rPr>
          <w:lang w:val="fr-CA"/>
        </w:rPr>
        <w:t xml:space="preserve">de </w:t>
      </w:r>
      <w:r w:rsidRPr="001879E6">
        <w:rPr>
          <w:lang w:val="fr-CA"/>
        </w:rPr>
        <w:t>changer les normes sexistes à l’échelle de la so</w:t>
      </w:r>
      <w:r>
        <w:rPr>
          <w:lang w:val="fr-CA"/>
        </w:rPr>
        <w:t>ciété</w:t>
      </w:r>
      <w:r w:rsidR="000730A3" w:rsidRPr="00876B03">
        <w:rPr>
          <w:lang w:val="fr-CA"/>
        </w:rPr>
        <w:t xml:space="preserve">. </w:t>
      </w:r>
      <w:r>
        <w:rPr>
          <w:lang w:val="fr-CA"/>
        </w:rPr>
        <w:t>Il faut le faire au-delà de l’échelle du projet en influençant les gouvernements et les institutions, y compris les systèmes de santé, d’é</w:t>
      </w:r>
      <w:r w:rsidR="00114A56" w:rsidRPr="00876B03">
        <w:rPr>
          <w:lang w:val="fr-CA"/>
        </w:rPr>
        <w:t xml:space="preserve">ducation </w:t>
      </w:r>
      <w:r>
        <w:rPr>
          <w:lang w:val="fr-CA"/>
        </w:rPr>
        <w:t xml:space="preserve">et de </w:t>
      </w:r>
      <w:r w:rsidR="00114A56" w:rsidRPr="00876B03">
        <w:rPr>
          <w:lang w:val="fr-CA"/>
        </w:rPr>
        <w:t>justice.</w:t>
      </w:r>
      <w:r w:rsidR="00EB5B4F" w:rsidRPr="00876B03">
        <w:rPr>
          <w:lang w:val="fr-CA"/>
        </w:rPr>
        <w:t xml:space="preserve"> </w:t>
      </w:r>
      <w:r w:rsidR="005D1920">
        <w:rPr>
          <w:lang w:val="fr-CA"/>
        </w:rPr>
        <w:t xml:space="preserve">La nécessité d’un enseignement complet </w:t>
      </w:r>
      <w:r w:rsidR="00DA6014">
        <w:rPr>
          <w:lang w:val="fr-CA"/>
        </w:rPr>
        <w:t xml:space="preserve">de la sexualité </w:t>
      </w:r>
      <w:r w:rsidR="005D1920">
        <w:rPr>
          <w:lang w:val="fr-CA"/>
        </w:rPr>
        <w:t>dans les écoles a été donnée en exemple.</w:t>
      </w:r>
      <w:r w:rsidR="00EB5B4F" w:rsidRPr="00876B03">
        <w:rPr>
          <w:lang w:val="fr-CA"/>
        </w:rPr>
        <w:t xml:space="preserve"> </w:t>
      </w:r>
      <w:r w:rsidR="005D1920">
        <w:rPr>
          <w:lang w:val="fr-CA"/>
        </w:rPr>
        <w:t xml:space="preserve">Pour engendrer ce type de changement culturel fondamental, nous devons investir dans la défense des droits et le pouvoir des </w:t>
      </w:r>
      <w:r w:rsidR="008504F5">
        <w:rPr>
          <w:lang w:val="fr-CA"/>
        </w:rPr>
        <w:t>organisations</w:t>
      </w:r>
      <w:r w:rsidR="005D1920">
        <w:rPr>
          <w:lang w:val="fr-CA"/>
        </w:rPr>
        <w:t xml:space="preserve"> locales.</w:t>
      </w:r>
      <w:r w:rsidR="000730A3" w:rsidRPr="00876B03">
        <w:rPr>
          <w:lang w:val="fr-CA"/>
        </w:rPr>
        <w:t xml:space="preserve"> </w:t>
      </w:r>
    </w:p>
    <w:p w:rsidR="00EB5B4F" w:rsidRPr="00876B03" w:rsidRDefault="00EB5B4F" w:rsidP="004340E8">
      <w:pPr>
        <w:rPr>
          <w:lang w:val="fr-CA"/>
        </w:rPr>
      </w:pPr>
    </w:p>
    <w:p w:rsidR="008D3F67" w:rsidRPr="00876B03" w:rsidRDefault="005D1920" w:rsidP="004340E8">
      <w:pPr>
        <w:rPr>
          <w:lang w:val="fr-CA"/>
        </w:rPr>
      </w:pPr>
      <w:r>
        <w:rPr>
          <w:lang w:val="fr-CA"/>
        </w:rPr>
        <w:t>Les p</w:t>
      </w:r>
      <w:r w:rsidR="00BA3D04" w:rsidRPr="00876B03">
        <w:rPr>
          <w:lang w:val="fr-CA"/>
        </w:rPr>
        <w:t xml:space="preserve">articipants </w:t>
      </w:r>
      <w:r w:rsidR="008504F5">
        <w:rPr>
          <w:lang w:val="fr-CA"/>
        </w:rPr>
        <w:t>ont souligné l’</w:t>
      </w:r>
      <w:r w:rsidR="00BA3D04" w:rsidRPr="00876B03">
        <w:rPr>
          <w:lang w:val="fr-CA"/>
        </w:rPr>
        <w:t xml:space="preserve">importance </w:t>
      </w:r>
      <w:r w:rsidR="008504F5">
        <w:rPr>
          <w:lang w:val="fr-CA"/>
        </w:rPr>
        <w:t xml:space="preserve">de </w:t>
      </w:r>
      <w:r w:rsidR="008504F5">
        <w:rPr>
          <w:b/>
          <w:i/>
          <w:lang w:val="fr-CA"/>
        </w:rPr>
        <w:t>mobiliser les hommes et les garçons</w:t>
      </w:r>
      <w:r w:rsidR="008504F5">
        <w:rPr>
          <w:lang w:val="fr-CA"/>
        </w:rPr>
        <w:t xml:space="preserve">, à titre de </w:t>
      </w:r>
      <w:r w:rsidR="004340E8" w:rsidRPr="00876B03">
        <w:rPr>
          <w:lang w:val="fr-CA"/>
        </w:rPr>
        <w:t xml:space="preserve">champions </w:t>
      </w:r>
      <w:r w:rsidR="005C66EC">
        <w:rPr>
          <w:lang w:val="fr-CA"/>
        </w:rPr>
        <w:t>du changement, et de redéfinir la « masculinité »</w:t>
      </w:r>
      <w:r w:rsidR="004340E8" w:rsidRPr="00876B03">
        <w:rPr>
          <w:lang w:val="fr-CA"/>
        </w:rPr>
        <w:t xml:space="preserve">. </w:t>
      </w:r>
      <w:r w:rsidR="005C66EC">
        <w:rPr>
          <w:lang w:val="fr-CA"/>
        </w:rPr>
        <w:t>Le Canada pourrait avoir l’</w:t>
      </w:r>
      <w:r w:rsidR="00705086">
        <w:rPr>
          <w:lang w:val="fr-CA"/>
        </w:rPr>
        <w:t>occasion</w:t>
      </w:r>
      <w:r w:rsidR="005C66EC">
        <w:rPr>
          <w:lang w:val="fr-CA"/>
        </w:rPr>
        <w:t xml:space="preserve"> de participer à des campagnes internationales qui favorisent la participation des hommes et les modèles masculins exemplaires sans violence, entre autres dans les fonctions </w:t>
      </w:r>
      <w:r w:rsidR="00705086">
        <w:rPr>
          <w:lang w:val="fr-CA"/>
        </w:rPr>
        <w:t>policières et de maintien de la paix</w:t>
      </w:r>
      <w:r w:rsidR="004340E8" w:rsidRPr="00876B03">
        <w:rPr>
          <w:lang w:val="fr-CA"/>
        </w:rPr>
        <w:t xml:space="preserve">. </w:t>
      </w:r>
      <w:r w:rsidR="00705086">
        <w:rPr>
          <w:lang w:val="fr-CA"/>
        </w:rPr>
        <w:t>Certains participants nous ont fait savoir qu’il fallait agir avec prudence dans nos initiatives visant à faire participer les hommes afin qu’ils ne s’approprient pas le pouvoir et les ressources des organisations de femmes.</w:t>
      </w:r>
    </w:p>
    <w:p w:rsidR="0059450F" w:rsidRPr="00876B03" w:rsidRDefault="0059450F" w:rsidP="004340E8">
      <w:pPr>
        <w:rPr>
          <w:lang w:val="fr-CA"/>
        </w:rPr>
      </w:pPr>
    </w:p>
    <w:p w:rsidR="0059450F" w:rsidRPr="00876B03" w:rsidRDefault="00791466" w:rsidP="004340E8">
      <w:pPr>
        <w:rPr>
          <w:lang w:val="fr-CA"/>
        </w:rPr>
      </w:pPr>
      <w:r>
        <w:rPr>
          <w:b/>
          <w:lang w:val="fr-CA"/>
        </w:rPr>
        <w:t>Le l</w:t>
      </w:r>
      <w:r w:rsidR="0059450F" w:rsidRPr="00876B03">
        <w:rPr>
          <w:b/>
          <w:lang w:val="fr-CA"/>
        </w:rPr>
        <w:t xml:space="preserve">eadership </w:t>
      </w:r>
      <w:r>
        <w:rPr>
          <w:b/>
          <w:lang w:val="fr-CA"/>
        </w:rPr>
        <w:t>à l’égard de la représentation égale des femmes dans le processus décisionnel </w:t>
      </w:r>
      <w:r w:rsidR="0059450F" w:rsidRPr="00876B03">
        <w:rPr>
          <w:b/>
          <w:lang w:val="fr-CA"/>
        </w:rPr>
        <w:t xml:space="preserve">: </w:t>
      </w:r>
      <w:r w:rsidRPr="00791466">
        <w:rPr>
          <w:lang w:val="fr-CA"/>
        </w:rPr>
        <w:t xml:space="preserve">Étant donné le rôle de champion </w:t>
      </w:r>
      <w:r>
        <w:rPr>
          <w:lang w:val="fr-CA"/>
        </w:rPr>
        <w:t xml:space="preserve">de notre premier ministre dans l’établissement de la parité des sexes au sein du Cabinet, le </w:t>
      </w:r>
      <w:r w:rsidR="0059450F" w:rsidRPr="00876B03">
        <w:rPr>
          <w:lang w:val="fr-CA"/>
        </w:rPr>
        <w:t xml:space="preserve">Canada </w:t>
      </w:r>
      <w:r>
        <w:rPr>
          <w:lang w:val="fr-CA"/>
        </w:rPr>
        <w:t>pourrait accélérer les efforts déployés pour promouvoir la participation politique des femmes ainsi que leur rôle de meneuses dans les structures de gouvernance mondiale, notamment aux Nations Unies.</w:t>
      </w:r>
    </w:p>
    <w:p w:rsidR="0059450F" w:rsidRPr="00876B03" w:rsidRDefault="0059450F" w:rsidP="004340E8">
      <w:pPr>
        <w:rPr>
          <w:lang w:val="fr-CA"/>
        </w:rPr>
      </w:pPr>
    </w:p>
    <w:p w:rsidR="0059450F" w:rsidRPr="00876B03" w:rsidRDefault="002B75AD" w:rsidP="004340E8">
      <w:pPr>
        <w:rPr>
          <w:lang w:val="fr-CA"/>
        </w:rPr>
      </w:pPr>
      <w:r>
        <w:rPr>
          <w:b/>
          <w:lang w:val="fr-CA"/>
        </w:rPr>
        <w:t>Ne laisser personne derrière </w:t>
      </w:r>
      <w:r w:rsidR="0059450F" w:rsidRPr="00876B03">
        <w:rPr>
          <w:b/>
          <w:lang w:val="fr-CA"/>
        </w:rPr>
        <w:t xml:space="preserve">: </w:t>
      </w:r>
      <w:r>
        <w:rPr>
          <w:lang w:val="fr-CA"/>
        </w:rPr>
        <w:t>Des intervenants ont signalé l’importante promesse incluse dans le Programme de développement à l’horizon 2030 de ne laisser personne derrière. Dans ce contexte</w:t>
      </w:r>
      <w:r w:rsidR="00F10AB8" w:rsidRPr="00876B03">
        <w:rPr>
          <w:lang w:val="fr-CA"/>
        </w:rPr>
        <w:t xml:space="preserve">, </w:t>
      </w:r>
      <w:r>
        <w:rPr>
          <w:lang w:val="fr-CA"/>
        </w:rPr>
        <w:t>nous devons accroître les efforts pour appuyer les adolescentes. Nous devons aussi concentrer notre attention sur les femmes et les filles qui vivent dans un contexte fragile.</w:t>
      </w:r>
      <w:r w:rsidR="00F10AB8" w:rsidRPr="00876B03">
        <w:rPr>
          <w:lang w:val="fr-CA"/>
        </w:rPr>
        <w:t xml:space="preserve"> </w:t>
      </w:r>
      <w:r>
        <w:rPr>
          <w:lang w:val="fr-CA"/>
        </w:rPr>
        <w:t>Une importante lacune dans la mise en œuvre des engagements et dans les mesures et le financement du programme Les femmes, la paix et la sécurité a été soulignée, d’après une étude mondiale récente pour marquer le 15</w:t>
      </w:r>
      <w:r w:rsidRPr="002B75AD">
        <w:rPr>
          <w:vertAlign w:val="superscript"/>
          <w:lang w:val="fr-CA"/>
        </w:rPr>
        <w:t>e</w:t>
      </w:r>
      <w:r>
        <w:rPr>
          <w:lang w:val="fr-CA"/>
        </w:rPr>
        <w:t> anniversaire de la résolution 1325 du Conseil de sécurité des Nations Unies</w:t>
      </w:r>
      <w:r w:rsidR="00F10AB8" w:rsidRPr="00876B03">
        <w:rPr>
          <w:lang w:val="fr-CA"/>
        </w:rPr>
        <w:t xml:space="preserve">. </w:t>
      </w:r>
      <w:r>
        <w:rPr>
          <w:lang w:val="fr-CA"/>
        </w:rPr>
        <w:t>Les p</w:t>
      </w:r>
      <w:r w:rsidR="00F10AB8" w:rsidRPr="00876B03">
        <w:rPr>
          <w:lang w:val="fr-CA"/>
        </w:rPr>
        <w:t xml:space="preserve">articipants </w:t>
      </w:r>
      <w:r>
        <w:rPr>
          <w:lang w:val="fr-CA"/>
        </w:rPr>
        <w:t xml:space="preserve">ont réitéré que le soutien aux organisations et aux mouvements de défense des droits des femmes dans les situations de conflit et à la suite d’un conflit est essentiel à ce programme, </w:t>
      </w:r>
      <w:r w:rsidR="00001C9B">
        <w:rPr>
          <w:lang w:val="fr-CA"/>
        </w:rPr>
        <w:t>en mentionnant les expériences en République démocratique du Congo, en Birmanie et en Syrie</w:t>
      </w:r>
      <w:r w:rsidR="00F10AB8" w:rsidRPr="00876B03">
        <w:rPr>
          <w:lang w:val="fr-CA"/>
        </w:rPr>
        <w:t>.</w:t>
      </w:r>
    </w:p>
    <w:p w:rsidR="00321468" w:rsidRPr="00876B03" w:rsidRDefault="00321468" w:rsidP="0017349F">
      <w:pPr>
        <w:rPr>
          <w:lang w:val="fr-CA"/>
        </w:rPr>
      </w:pPr>
    </w:p>
    <w:p w:rsidR="00114A56" w:rsidRPr="00876B03" w:rsidRDefault="00001C9B" w:rsidP="0010377A">
      <w:pPr>
        <w:shd w:val="clear" w:color="auto" w:fill="FFFFFF"/>
        <w:spacing w:after="240"/>
        <w:rPr>
          <w:lang w:val="fr-CA"/>
        </w:rPr>
      </w:pPr>
      <w:r>
        <w:rPr>
          <w:rFonts w:cs="Calibri"/>
          <w:b/>
          <w:lang w:val="fr-CA"/>
        </w:rPr>
        <w:t>De meilleures statistiques, données et évaluations </w:t>
      </w:r>
      <w:r w:rsidR="00B62E29" w:rsidRPr="00876B03">
        <w:rPr>
          <w:rFonts w:cs="Calibri"/>
          <w:b/>
          <w:lang w:val="fr-CA"/>
        </w:rPr>
        <w:t>:</w:t>
      </w:r>
      <w:r>
        <w:rPr>
          <w:rFonts w:cs="Calibri"/>
          <w:lang w:val="fr-CA"/>
        </w:rPr>
        <w:t xml:space="preserve"> L’</w:t>
      </w:r>
      <w:r w:rsidR="00B62E29" w:rsidRPr="00876B03">
        <w:rPr>
          <w:rFonts w:cs="Calibri"/>
          <w:lang w:val="fr-CA"/>
        </w:rPr>
        <w:t xml:space="preserve">importance </w:t>
      </w:r>
      <w:r>
        <w:rPr>
          <w:rFonts w:cs="Calibri"/>
          <w:lang w:val="fr-CA"/>
        </w:rPr>
        <w:t>des données et des données probantes pour appuyer les résultats et la réalisation est un thème qui revient. Nous devons investir dans la mesure des progrès en matière de droits des femmes et des filles et nous assurer que les conclusions des évaluations sont intégrées dans la mise en œuvre du Programme de développement à l’horizon </w:t>
      </w:r>
      <w:r w:rsidR="0059450F" w:rsidRPr="00876B03">
        <w:rPr>
          <w:rFonts w:cs="Calibri"/>
          <w:lang w:val="fr-CA"/>
        </w:rPr>
        <w:t>2030.</w:t>
      </w:r>
    </w:p>
    <w:p w:rsidR="00B62E29" w:rsidRPr="00876B03" w:rsidRDefault="00D20648" w:rsidP="0017349F">
      <w:pPr>
        <w:rPr>
          <w:lang w:val="fr-CA"/>
        </w:rPr>
      </w:pPr>
      <w:r>
        <w:rPr>
          <w:b/>
          <w:lang w:val="fr-CA"/>
        </w:rPr>
        <w:t>Des promesses politiques solides doivent être accompagnées d’un financement, d’une capacité sur le plan des ressources humaines et d’une responsabilisation correspondants </w:t>
      </w:r>
      <w:r w:rsidR="0012421C" w:rsidRPr="00876B03">
        <w:rPr>
          <w:b/>
          <w:lang w:val="fr-CA"/>
        </w:rPr>
        <w:t>:</w:t>
      </w:r>
      <w:r w:rsidR="00650374" w:rsidRPr="00876B03">
        <w:rPr>
          <w:b/>
          <w:lang w:val="fr-CA"/>
        </w:rPr>
        <w:t xml:space="preserve"> </w:t>
      </w:r>
      <w:r w:rsidRPr="00D20648">
        <w:rPr>
          <w:lang w:val="fr-CA"/>
        </w:rPr>
        <w:t>Le</w:t>
      </w:r>
      <w:r>
        <w:rPr>
          <w:b/>
          <w:lang w:val="fr-CA"/>
        </w:rPr>
        <w:t xml:space="preserve"> </w:t>
      </w:r>
      <w:r>
        <w:rPr>
          <w:lang w:val="fr-CA"/>
        </w:rPr>
        <w:t xml:space="preserve">leadership politique est essentiel et les intervenants </w:t>
      </w:r>
      <w:r w:rsidR="0065064D">
        <w:rPr>
          <w:lang w:val="fr-CA"/>
        </w:rPr>
        <w:t>prennent note des solides déclarations et promesses récentes sur l’égalité entre les sexes, mais insistent sur l’</w:t>
      </w:r>
      <w:r w:rsidR="00650374" w:rsidRPr="00876B03">
        <w:rPr>
          <w:lang w:val="fr-CA"/>
        </w:rPr>
        <w:t>imp</w:t>
      </w:r>
      <w:r w:rsidR="00C848F0" w:rsidRPr="00876B03">
        <w:rPr>
          <w:lang w:val="fr-CA"/>
        </w:rPr>
        <w:t xml:space="preserve">ortance </w:t>
      </w:r>
      <w:r w:rsidR="0065064D">
        <w:rPr>
          <w:lang w:val="fr-CA"/>
        </w:rPr>
        <w:t xml:space="preserve">de s’assurer que les </w:t>
      </w:r>
      <w:r w:rsidR="00C848F0" w:rsidRPr="00876B03">
        <w:rPr>
          <w:lang w:val="fr-CA"/>
        </w:rPr>
        <w:t>res</w:t>
      </w:r>
      <w:r w:rsidR="0065064D">
        <w:rPr>
          <w:lang w:val="fr-CA"/>
        </w:rPr>
        <w:t>s</w:t>
      </w:r>
      <w:r w:rsidR="00C848F0" w:rsidRPr="00876B03">
        <w:rPr>
          <w:lang w:val="fr-CA"/>
        </w:rPr>
        <w:t>ources (</w:t>
      </w:r>
      <w:r w:rsidR="0065064D">
        <w:rPr>
          <w:lang w:val="fr-CA"/>
        </w:rPr>
        <w:t>tant humaines que financières</w:t>
      </w:r>
      <w:r w:rsidR="00650374" w:rsidRPr="00876B03">
        <w:rPr>
          <w:lang w:val="fr-CA"/>
        </w:rPr>
        <w:t xml:space="preserve">) </w:t>
      </w:r>
      <w:r w:rsidR="0065064D">
        <w:rPr>
          <w:lang w:val="fr-CA"/>
        </w:rPr>
        <w:t xml:space="preserve">sont en place pour garantir la mise en œuvre de ces promesses. Le Ministère doit être </w:t>
      </w:r>
      <w:r w:rsidR="005913A7">
        <w:rPr>
          <w:lang w:val="fr-CA"/>
        </w:rPr>
        <w:t>prêt</w:t>
      </w:r>
      <w:r w:rsidR="00AE471F">
        <w:rPr>
          <w:lang w:val="fr-CA"/>
        </w:rPr>
        <w:t xml:space="preserve"> pour s’attaquer à cette priorité de plus en plus importante et être doté des structures de responsabilisation adéquates pour </w:t>
      </w:r>
      <w:r w:rsidR="005913A7">
        <w:rPr>
          <w:lang w:val="fr-CA"/>
        </w:rPr>
        <w:t>la mettre en œuvre.</w:t>
      </w:r>
      <w:r w:rsidR="00650374" w:rsidRPr="00876B03">
        <w:rPr>
          <w:lang w:val="fr-CA"/>
        </w:rPr>
        <w:t xml:space="preserve"> </w:t>
      </w:r>
    </w:p>
    <w:p w:rsidR="005245AC" w:rsidRPr="00876B03" w:rsidRDefault="005245AC" w:rsidP="0017349F">
      <w:pPr>
        <w:rPr>
          <w:rFonts w:asciiTheme="minorHAnsi" w:hAnsiTheme="minorHAnsi" w:cs="Arial"/>
          <w:b/>
          <w:bCs/>
          <w:lang w:val="fr-CA" w:eastAsia="en-CA"/>
        </w:rPr>
      </w:pPr>
    </w:p>
    <w:p w:rsidR="0017349F" w:rsidRPr="00876B03" w:rsidRDefault="00FB39E8" w:rsidP="0017349F">
      <w:pPr>
        <w:rPr>
          <w:rFonts w:asciiTheme="minorHAnsi" w:hAnsiTheme="minorHAnsi" w:cs="Arial"/>
          <w:b/>
          <w:bCs/>
          <w:lang w:val="fr-CA" w:eastAsia="en-CA"/>
        </w:rPr>
      </w:pPr>
      <w:r>
        <w:rPr>
          <w:rFonts w:asciiTheme="minorHAnsi" w:hAnsiTheme="minorHAnsi" w:cs="Arial"/>
          <w:b/>
          <w:bCs/>
          <w:lang w:val="fr-CA" w:eastAsia="en-CA"/>
        </w:rPr>
        <w:t>Mot de la fin</w:t>
      </w:r>
    </w:p>
    <w:p w:rsidR="004D6A20" w:rsidRPr="00876B03" w:rsidRDefault="00FB39E8" w:rsidP="004D6A20">
      <w:pPr>
        <w:pStyle w:val="Paragraphedeliste"/>
        <w:numPr>
          <w:ilvl w:val="0"/>
          <w:numId w:val="3"/>
        </w:numPr>
        <w:rPr>
          <w:rFonts w:cs="Arial"/>
          <w:lang w:val="fr-CA" w:eastAsia="en-CA"/>
        </w:rPr>
      </w:pPr>
      <w:r>
        <w:rPr>
          <w:rFonts w:cs="Arial"/>
          <w:lang w:val="fr-CA"/>
        </w:rPr>
        <w:t xml:space="preserve">La ministre </w:t>
      </w:r>
      <w:r w:rsidR="00083576" w:rsidRPr="00876B03">
        <w:rPr>
          <w:rFonts w:cs="Arial"/>
          <w:lang w:val="fr-CA"/>
        </w:rPr>
        <w:t>Bibeau</w:t>
      </w:r>
      <w:r w:rsidR="0017349F" w:rsidRPr="00876B03">
        <w:rPr>
          <w:rFonts w:cs="Arial"/>
          <w:lang w:val="fr-CA"/>
        </w:rPr>
        <w:t xml:space="preserve"> </w:t>
      </w:r>
      <w:r>
        <w:rPr>
          <w:rFonts w:cs="Arial"/>
          <w:lang w:val="fr-CA"/>
        </w:rPr>
        <w:t>remercie tous les participants pour une discussion riche et productive</w:t>
      </w:r>
      <w:r w:rsidR="004D6A20" w:rsidRPr="00876B03">
        <w:rPr>
          <w:rFonts w:cs="Arial"/>
          <w:lang w:val="fr-CA"/>
        </w:rPr>
        <w:t xml:space="preserve">. </w:t>
      </w:r>
    </w:p>
    <w:p w:rsidR="0017349F" w:rsidRPr="00876B03" w:rsidRDefault="00FB39E8" w:rsidP="00383F89">
      <w:pPr>
        <w:pStyle w:val="Paragraphedeliste"/>
        <w:numPr>
          <w:ilvl w:val="0"/>
          <w:numId w:val="3"/>
        </w:numPr>
        <w:rPr>
          <w:rFonts w:cs="Arial"/>
          <w:lang w:val="fr-CA" w:eastAsia="en-CA"/>
        </w:rPr>
      </w:pPr>
      <w:r>
        <w:rPr>
          <w:rFonts w:cs="Arial"/>
          <w:kern w:val="1"/>
          <w:lang w:val="fr-CA"/>
        </w:rPr>
        <w:t>Elle réitère que sa priorité sera dorénavant l’autonomisation des femmes et des filles</w:t>
      </w:r>
      <w:r w:rsidR="00232D28" w:rsidRPr="00876B03">
        <w:rPr>
          <w:rFonts w:cs="Arial"/>
          <w:kern w:val="1"/>
          <w:lang w:val="fr-CA"/>
        </w:rPr>
        <w:t xml:space="preserve">. </w:t>
      </w:r>
      <w:r>
        <w:rPr>
          <w:rFonts w:cs="Arial"/>
          <w:kern w:val="1"/>
          <w:lang w:val="fr-CA"/>
        </w:rPr>
        <w:t>Bien qu’à chaque consultation, de nouvelles questions soient soulevées</w:t>
      </w:r>
      <w:r w:rsidR="00232D28" w:rsidRPr="00876B03">
        <w:rPr>
          <w:rFonts w:cs="Arial"/>
          <w:kern w:val="1"/>
          <w:lang w:val="fr-CA"/>
        </w:rPr>
        <w:t xml:space="preserve">, </w:t>
      </w:r>
      <w:r w:rsidR="00D20648">
        <w:rPr>
          <w:rFonts w:cs="Arial"/>
          <w:kern w:val="1"/>
          <w:lang w:val="fr-CA"/>
        </w:rPr>
        <w:t>elle accueille la participation soutenue des Canadiens pour définir le</w:t>
      </w:r>
      <w:r w:rsidR="00AE471F">
        <w:rPr>
          <w:rFonts w:cs="Arial"/>
          <w:kern w:val="1"/>
          <w:lang w:val="fr-CA"/>
        </w:rPr>
        <w:t xml:space="preserve"> </w:t>
      </w:r>
      <w:r w:rsidR="00D20648">
        <w:rPr>
          <w:rFonts w:cs="Arial"/>
          <w:kern w:val="1"/>
          <w:lang w:val="fr-CA"/>
        </w:rPr>
        <w:t xml:space="preserve"> meilleur moyen de façonner notre programme </w:t>
      </w:r>
      <w:r w:rsidR="00D20648" w:rsidRPr="005913A7">
        <w:rPr>
          <w:rFonts w:cs="Arial"/>
          <w:kern w:val="1"/>
          <w:lang w:val="fr-CA"/>
        </w:rPr>
        <w:t>mutuel</w:t>
      </w:r>
      <w:r w:rsidR="00D20648">
        <w:rPr>
          <w:rFonts w:cs="Arial"/>
          <w:kern w:val="1"/>
          <w:lang w:val="fr-CA"/>
        </w:rPr>
        <w:t xml:space="preserve"> dans ce domaine.</w:t>
      </w:r>
      <w:r w:rsidR="00232D28" w:rsidRPr="00876B03">
        <w:rPr>
          <w:rFonts w:cs="Arial"/>
          <w:kern w:val="1"/>
          <w:lang w:val="fr-CA"/>
        </w:rPr>
        <w:t xml:space="preserve"> </w:t>
      </w:r>
    </w:p>
    <w:p w:rsidR="0017349F" w:rsidRPr="00876B03" w:rsidRDefault="00FB39E8" w:rsidP="0017349F">
      <w:pPr>
        <w:rPr>
          <w:lang w:val="fr-CA" w:eastAsia="en-CA"/>
        </w:rPr>
      </w:pPr>
      <w:r>
        <w:rPr>
          <w:lang w:val="fr-CA" w:eastAsia="en-CA"/>
        </w:rPr>
        <w:t>Des ph</w:t>
      </w:r>
      <w:r w:rsidR="0017349F" w:rsidRPr="00876B03">
        <w:rPr>
          <w:lang w:val="fr-CA" w:eastAsia="en-CA"/>
        </w:rPr>
        <w:t xml:space="preserve">otos </w:t>
      </w:r>
      <w:r>
        <w:rPr>
          <w:lang w:val="fr-CA" w:eastAsia="en-CA"/>
        </w:rPr>
        <w:t>de la table ronde ont été affichées sur les médias sociaux</w:t>
      </w:r>
      <w:r w:rsidR="0017349F" w:rsidRPr="00876B03">
        <w:rPr>
          <w:lang w:val="fr-CA" w:eastAsia="en-CA"/>
        </w:rPr>
        <w:t>.</w:t>
      </w:r>
    </w:p>
    <w:p w:rsidR="0017349F" w:rsidRPr="00876B03" w:rsidRDefault="001175DC" w:rsidP="0017349F">
      <w:pPr>
        <w:rPr>
          <w:lang w:val="fr-CA" w:eastAsia="en-CA"/>
        </w:rPr>
      </w:pPr>
      <w:hyperlink r:id="rId9" w:history="1">
        <w:r w:rsidR="0017349F" w:rsidRPr="00876B03">
          <w:rPr>
            <w:rStyle w:val="Lienhypertexte"/>
            <w:lang w:val="fr-CA" w:eastAsia="en-CA"/>
          </w:rPr>
          <w:t>https://twitter.com/mclaudebibeau</w:t>
        </w:r>
      </w:hyperlink>
      <w:r w:rsidR="0017349F" w:rsidRPr="00876B03">
        <w:rPr>
          <w:lang w:val="fr-CA" w:eastAsia="en-CA"/>
        </w:rPr>
        <w:t xml:space="preserve"> </w:t>
      </w:r>
      <w:r w:rsidR="0010377A" w:rsidRPr="00876B03">
        <w:rPr>
          <w:lang w:val="fr-CA" w:eastAsia="en-CA"/>
        </w:rPr>
        <w:br/>
      </w:r>
    </w:p>
    <w:p w:rsidR="0017349F" w:rsidRPr="00876B03" w:rsidRDefault="00B8471F" w:rsidP="0017349F">
      <w:pPr>
        <w:rPr>
          <w:lang w:val="fr-CA" w:eastAsia="en-CA"/>
        </w:rPr>
      </w:pPr>
      <w:r>
        <w:rPr>
          <w:lang w:val="fr-CA" w:eastAsia="en-CA"/>
        </w:rPr>
        <w:t>Pour obtenir d’autres détails sur la table ronde, veuillez communiquer avec Tamara </w:t>
      </w:r>
      <w:r w:rsidR="001A55A5" w:rsidRPr="00876B03">
        <w:rPr>
          <w:lang w:val="fr-CA" w:eastAsia="en-CA"/>
        </w:rPr>
        <w:t>Sequeira</w:t>
      </w:r>
      <w:r w:rsidR="00C848F0" w:rsidRPr="00876B03">
        <w:rPr>
          <w:lang w:val="fr-CA" w:eastAsia="en-CA"/>
        </w:rPr>
        <w:t xml:space="preserve">, </w:t>
      </w:r>
      <w:r>
        <w:rPr>
          <w:lang w:val="fr-CA" w:eastAsia="en-CA"/>
        </w:rPr>
        <w:t>directrice adjointe</w:t>
      </w:r>
      <w:r w:rsidR="00C848F0" w:rsidRPr="00876B03">
        <w:rPr>
          <w:lang w:val="fr-CA" w:eastAsia="en-CA"/>
        </w:rPr>
        <w:t xml:space="preserve">, </w:t>
      </w:r>
      <w:r>
        <w:rPr>
          <w:lang w:val="fr-CA" w:eastAsia="en-CA"/>
        </w:rPr>
        <w:t>Politique sur l’égalité entre les sexes</w:t>
      </w:r>
      <w:r w:rsidR="00C848F0" w:rsidRPr="00876B03">
        <w:rPr>
          <w:lang w:val="fr-CA" w:eastAsia="en-CA"/>
        </w:rPr>
        <w:t>.</w:t>
      </w:r>
    </w:p>
    <w:p w:rsidR="0017349F" w:rsidRPr="00876B03" w:rsidRDefault="00B8471F" w:rsidP="0017349F">
      <w:pPr>
        <w:rPr>
          <w:lang w:val="fr-CA" w:eastAsia="en-CA"/>
        </w:rPr>
      </w:pPr>
      <w:r>
        <w:rPr>
          <w:b/>
          <w:bCs/>
          <w:lang w:val="fr-CA" w:eastAsia="en-CA"/>
        </w:rPr>
        <w:t xml:space="preserve">Rédigé par : </w:t>
      </w:r>
      <w:r w:rsidR="004639EC" w:rsidRPr="00876B03">
        <w:rPr>
          <w:lang w:val="fr-CA" w:eastAsia="en-CA"/>
        </w:rPr>
        <w:t>Sequeira/MGS, Kien/MGS</w:t>
      </w:r>
    </w:p>
    <w:p w:rsidR="00E4666F" w:rsidRPr="00876B03" w:rsidRDefault="00B8471F">
      <w:pPr>
        <w:rPr>
          <w:lang w:val="fr-CA" w:eastAsia="en-CA"/>
        </w:rPr>
      </w:pPr>
      <w:r>
        <w:rPr>
          <w:b/>
          <w:bCs/>
          <w:lang w:val="fr-CA" w:eastAsia="en-CA"/>
        </w:rPr>
        <w:t xml:space="preserve">Approuvé par : </w:t>
      </w:r>
      <w:r w:rsidR="004639EC" w:rsidRPr="00876B03">
        <w:rPr>
          <w:lang w:val="fr-CA" w:eastAsia="en-CA"/>
        </w:rPr>
        <w:t>Smyth/MGD</w:t>
      </w:r>
    </w:p>
    <w:p w:rsidR="00E15151" w:rsidRPr="00876B03" w:rsidRDefault="00E15151">
      <w:pPr>
        <w:rPr>
          <w:lang w:val="fr-CA" w:eastAsia="en-CA"/>
        </w:rPr>
      </w:pPr>
    </w:p>
    <w:p w:rsidR="00E15151" w:rsidRPr="00876B03" w:rsidRDefault="00E15151">
      <w:pPr>
        <w:rPr>
          <w:lang w:val="fr-CA" w:eastAsia="en-CA"/>
        </w:rPr>
      </w:pPr>
    </w:p>
    <w:p w:rsidR="00E15151" w:rsidRPr="00876B03" w:rsidRDefault="00E15151" w:rsidP="00E15151">
      <w:pPr>
        <w:shd w:val="clear" w:color="auto" w:fill="FFFFFF"/>
        <w:rPr>
          <w:lang w:val="fr-CA"/>
        </w:rPr>
      </w:pPr>
      <w:r w:rsidRPr="00876B03">
        <w:rPr>
          <w:rFonts w:cs="Calibri"/>
          <w:color w:val="1F497D"/>
          <w:lang w:val="fr-CA"/>
        </w:rPr>
        <w:t> </w:t>
      </w:r>
    </w:p>
    <w:p w:rsidR="00E15151" w:rsidRPr="00876B03" w:rsidRDefault="00E15151">
      <w:pPr>
        <w:rPr>
          <w:lang w:val="fr-CA" w:eastAsia="en-CA"/>
        </w:rPr>
      </w:pPr>
    </w:p>
    <w:sectPr w:rsidR="00E15151" w:rsidRPr="00876B0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DC" w:rsidRDefault="003B32DC" w:rsidP="006A2346">
      <w:r>
        <w:separator/>
      </w:r>
    </w:p>
  </w:endnote>
  <w:endnote w:type="continuationSeparator" w:id="0">
    <w:p w:rsidR="003B32DC" w:rsidRDefault="003B32DC" w:rsidP="006A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3D" w:rsidRDefault="004649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846203"/>
      <w:docPartObj>
        <w:docPartGallery w:val="Page Numbers (Bottom of Page)"/>
        <w:docPartUnique/>
      </w:docPartObj>
    </w:sdtPr>
    <w:sdtEndPr>
      <w:rPr>
        <w:noProof/>
      </w:rPr>
    </w:sdtEndPr>
    <w:sdtContent>
      <w:p w:rsidR="001879E6" w:rsidRDefault="001879E6">
        <w:pPr>
          <w:pStyle w:val="Pieddepage"/>
          <w:jc w:val="right"/>
        </w:pPr>
        <w:r>
          <w:fldChar w:fldCharType="begin"/>
        </w:r>
        <w:r>
          <w:instrText xml:space="preserve"> PAGE   \* MERGEFORMAT </w:instrText>
        </w:r>
        <w:r>
          <w:fldChar w:fldCharType="separate"/>
        </w:r>
        <w:r w:rsidR="001175DC">
          <w:rPr>
            <w:noProof/>
          </w:rPr>
          <w:t>1</w:t>
        </w:r>
        <w:r>
          <w:rPr>
            <w:noProof/>
          </w:rPr>
          <w:fldChar w:fldCharType="end"/>
        </w:r>
      </w:p>
    </w:sdtContent>
  </w:sdt>
  <w:p w:rsidR="001879E6" w:rsidRDefault="001879E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3D" w:rsidRDefault="004649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DC" w:rsidRDefault="003B32DC" w:rsidP="006A2346">
      <w:r>
        <w:separator/>
      </w:r>
    </w:p>
  </w:footnote>
  <w:footnote w:type="continuationSeparator" w:id="0">
    <w:p w:rsidR="003B32DC" w:rsidRDefault="003B32DC" w:rsidP="006A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3D" w:rsidRDefault="004649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3D" w:rsidRDefault="004649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3D" w:rsidRDefault="004649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EAF"/>
    <w:multiLevelType w:val="hybridMultilevel"/>
    <w:tmpl w:val="4C9A04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nsid w:val="5E106428"/>
    <w:multiLevelType w:val="hybridMultilevel"/>
    <w:tmpl w:val="C2863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67BC734B"/>
    <w:multiLevelType w:val="hybridMultilevel"/>
    <w:tmpl w:val="B9EC40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nsid w:val="6ADA7539"/>
    <w:multiLevelType w:val="hybridMultilevel"/>
    <w:tmpl w:val="BAFCED8A"/>
    <w:lvl w:ilvl="0" w:tplc="10090011">
      <w:start w:val="1"/>
      <w:numFmt w:val="decimal"/>
      <w:lvlText w:val="%1)"/>
      <w:lvlJc w:val="left"/>
      <w:pPr>
        <w:ind w:left="720" w:hanging="360"/>
      </w:pPr>
      <w:rPr>
        <w:b/>
        <w:i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77E02E3F"/>
    <w:multiLevelType w:val="hybridMultilevel"/>
    <w:tmpl w:val="B46871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9F"/>
    <w:rsid w:val="00001C9B"/>
    <w:rsid w:val="000031DB"/>
    <w:rsid w:val="00017683"/>
    <w:rsid w:val="00020C14"/>
    <w:rsid w:val="00023179"/>
    <w:rsid w:val="00023B0E"/>
    <w:rsid w:val="00027693"/>
    <w:rsid w:val="000342DE"/>
    <w:rsid w:val="00036BEB"/>
    <w:rsid w:val="00045AD6"/>
    <w:rsid w:val="0005316B"/>
    <w:rsid w:val="0006170E"/>
    <w:rsid w:val="000730A3"/>
    <w:rsid w:val="00081614"/>
    <w:rsid w:val="00081D5D"/>
    <w:rsid w:val="00081F2D"/>
    <w:rsid w:val="00083576"/>
    <w:rsid w:val="00085724"/>
    <w:rsid w:val="000975DF"/>
    <w:rsid w:val="000B1DB8"/>
    <w:rsid w:val="000B27A0"/>
    <w:rsid w:val="000B3999"/>
    <w:rsid w:val="000D0895"/>
    <w:rsid w:val="0010377A"/>
    <w:rsid w:val="0010720E"/>
    <w:rsid w:val="00111E9C"/>
    <w:rsid w:val="00114A56"/>
    <w:rsid w:val="001175DC"/>
    <w:rsid w:val="00121355"/>
    <w:rsid w:val="0012209B"/>
    <w:rsid w:val="0012421C"/>
    <w:rsid w:val="00144B54"/>
    <w:rsid w:val="00153337"/>
    <w:rsid w:val="00161B9E"/>
    <w:rsid w:val="00165B8A"/>
    <w:rsid w:val="0017349F"/>
    <w:rsid w:val="001848DC"/>
    <w:rsid w:val="001879E6"/>
    <w:rsid w:val="001A55A5"/>
    <w:rsid w:val="001C072E"/>
    <w:rsid w:val="001C130A"/>
    <w:rsid w:val="001C6919"/>
    <w:rsid w:val="001C6A20"/>
    <w:rsid w:val="001D441E"/>
    <w:rsid w:val="001D6BE5"/>
    <w:rsid w:val="001F4E03"/>
    <w:rsid w:val="00201DEF"/>
    <w:rsid w:val="00202829"/>
    <w:rsid w:val="002040EC"/>
    <w:rsid w:val="0021037B"/>
    <w:rsid w:val="0021106A"/>
    <w:rsid w:val="00215AEE"/>
    <w:rsid w:val="00232D28"/>
    <w:rsid w:val="00237A32"/>
    <w:rsid w:val="00273911"/>
    <w:rsid w:val="002A29AA"/>
    <w:rsid w:val="002B4385"/>
    <w:rsid w:val="002B75AD"/>
    <w:rsid w:val="002E118B"/>
    <w:rsid w:val="002F0229"/>
    <w:rsid w:val="002F0ACD"/>
    <w:rsid w:val="002F6193"/>
    <w:rsid w:val="0030293E"/>
    <w:rsid w:val="00312EC8"/>
    <w:rsid w:val="00321468"/>
    <w:rsid w:val="0033093B"/>
    <w:rsid w:val="00343834"/>
    <w:rsid w:val="003444EF"/>
    <w:rsid w:val="0036675A"/>
    <w:rsid w:val="00383F89"/>
    <w:rsid w:val="003B2D29"/>
    <w:rsid w:val="003B32DC"/>
    <w:rsid w:val="003B5235"/>
    <w:rsid w:val="003F78CF"/>
    <w:rsid w:val="0040298C"/>
    <w:rsid w:val="00402D13"/>
    <w:rsid w:val="00406E3A"/>
    <w:rsid w:val="00407F06"/>
    <w:rsid w:val="00410C07"/>
    <w:rsid w:val="00412463"/>
    <w:rsid w:val="004325AF"/>
    <w:rsid w:val="004336CD"/>
    <w:rsid w:val="004340E8"/>
    <w:rsid w:val="00434D29"/>
    <w:rsid w:val="00437F51"/>
    <w:rsid w:val="004425DE"/>
    <w:rsid w:val="00446CD6"/>
    <w:rsid w:val="00462A74"/>
    <w:rsid w:val="004639EC"/>
    <w:rsid w:val="0046493D"/>
    <w:rsid w:val="0046608A"/>
    <w:rsid w:val="004755D7"/>
    <w:rsid w:val="004A3C4A"/>
    <w:rsid w:val="004B0DE5"/>
    <w:rsid w:val="004B628B"/>
    <w:rsid w:val="004D6A20"/>
    <w:rsid w:val="004E079D"/>
    <w:rsid w:val="004E2C4A"/>
    <w:rsid w:val="004F4CFC"/>
    <w:rsid w:val="005023E8"/>
    <w:rsid w:val="005245AC"/>
    <w:rsid w:val="0053471D"/>
    <w:rsid w:val="00534C7A"/>
    <w:rsid w:val="00540BA7"/>
    <w:rsid w:val="005816EC"/>
    <w:rsid w:val="00582192"/>
    <w:rsid w:val="005834CB"/>
    <w:rsid w:val="005913A7"/>
    <w:rsid w:val="0059450F"/>
    <w:rsid w:val="005C0BB5"/>
    <w:rsid w:val="005C66EC"/>
    <w:rsid w:val="005D1920"/>
    <w:rsid w:val="005D3DFA"/>
    <w:rsid w:val="005E2246"/>
    <w:rsid w:val="005E7F8D"/>
    <w:rsid w:val="005F0D9E"/>
    <w:rsid w:val="00650374"/>
    <w:rsid w:val="0065064D"/>
    <w:rsid w:val="00656915"/>
    <w:rsid w:val="00663ABD"/>
    <w:rsid w:val="00667535"/>
    <w:rsid w:val="00693934"/>
    <w:rsid w:val="006A2346"/>
    <w:rsid w:val="006A4A98"/>
    <w:rsid w:val="006B2458"/>
    <w:rsid w:val="006C022C"/>
    <w:rsid w:val="006C59F4"/>
    <w:rsid w:val="006C5A60"/>
    <w:rsid w:val="006D6C11"/>
    <w:rsid w:val="00705015"/>
    <w:rsid w:val="00705086"/>
    <w:rsid w:val="00734C07"/>
    <w:rsid w:val="0074058E"/>
    <w:rsid w:val="00753C1A"/>
    <w:rsid w:val="00762AEB"/>
    <w:rsid w:val="00783331"/>
    <w:rsid w:val="00786BD9"/>
    <w:rsid w:val="0078767A"/>
    <w:rsid w:val="00791466"/>
    <w:rsid w:val="00792AF5"/>
    <w:rsid w:val="007D03F2"/>
    <w:rsid w:val="007F137A"/>
    <w:rsid w:val="00811789"/>
    <w:rsid w:val="00835241"/>
    <w:rsid w:val="00837A93"/>
    <w:rsid w:val="008504F5"/>
    <w:rsid w:val="008539EF"/>
    <w:rsid w:val="00863C05"/>
    <w:rsid w:val="008711D5"/>
    <w:rsid w:val="00876B03"/>
    <w:rsid w:val="008849FE"/>
    <w:rsid w:val="00892655"/>
    <w:rsid w:val="0089585D"/>
    <w:rsid w:val="008C1BFA"/>
    <w:rsid w:val="008D3F67"/>
    <w:rsid w:val="008E33E0"/>
    <w:rsid w:val="008E69E9"/>
    <w:rsid w:val="00930285"/>
    <w:rsid w:val="00930689"/>
    <w:rsid w:val="009631FB"/>
    <w:rsid w:val="0096505A"/>
    <w:rsid w:val="009724D0"/>
    <w:rsid w:val="00974092"/>
    <w:rsid w:val="0098019F"/>
    <w:rsid w:val="0098280C"/>
    <w:rsid w:val="009A1D3B"/>
    <w:rsid w:val="009A57E6"/>
    <w:rsid w:val="009B183B"/>
    <w:rsid w:val="009C5B56"/>
    <w:rsid w:val="009C7157"/>
    <w:rsid w:val="009E4917"/>
    <w:rsid w:val="00A02FC6"/>
    <w:rsid w:val="00A114D3"/>
    <w:rsid w:val="00A161FD"/>
    <w:rsid w:val="00A17832"/>
    <w:rsid w:val="00A24DC1"/>
    <w:rsid w:val="00A471AD"/>
    <w:rsid w:val="00A54271"/>
    <w:rsid w:val="00A55418"/>
    <w:rsid w:val="00A56B34"/>
    <w:rsid w:val="00A73568"/>
    <w:rsid w:val="00A854A4"/>
    <w:rsid w:val="00A9554C"/>
    <w:rsid w:val="00A957F7"/>
    <w:rsid w:val="00AA23F7"/>
    <w:rsid w:val="00AA5CE6"/>
    <w:rsid w:val="00AA7F80"/>
    <w:rsid w:val="00AB1CD6"/>
    <w:rsid w:val="00AD3F0B"/>
    <w:rsid w:val="00AE353D"/>
    <w:rsid w:val="00AE471F"/>
    <w:rsid w:val="00AE7763"/>
    <w:rsid w:val="00AF4126"/>
    <w:rsid w:val="00B14274"/>
    <w:rsid w:val="00B23558"/>
    <w:rsid w:val="00B40549"/>
    <w:rsid w:val="00B62E29"/>
    <w:rsid w:val="00B8471F"/>
    <w:rsid w:val="00B847A9"/>
    <w:rsid w:val="00BA3D04"/>
    <w:rsid w:val="00BA3D2D"/>
    <w:rsid w:val="00BD4868"/>
    <w:rsid w:val="00BD57D1"/>
    <w:rsid w:val="00BE0062"/>
    <w:rsid w:val="00C56221"/>
    <w:rsid w:val="00C57E89"/>
    <w:rsid w:val="00C625F9"/>
    <w:rsid w:val="00C824EA"/>
    <w:rsid w:val="00C84596"/>
    <w:rsid w:val="00C848F0"/>
    <w:rsid w:val="00C9298C"/>
    <w:rsid w:val="00C94EAD"/>
    <w:rsid w:val="00CD4190"/>
    <w:rsid w:val="00CE4233"/>
    <w:rsid w:val="00D12562"/>
    <w:rsid w:val="00D20648"/>
    <w:rsid w:val="00D22474"/>
    <w:rsid w:val="00D25976"/>
    <w:rsid w:val="00DA5505"/>
    <w:rsid w:val="00DA6014"/>
    <w:rsid w:val="00DB2342"/>
    <w:rsid w:val="00DB3CC4"/>
    <w:rsid w:val="00DC11C7"/>
    <w:rsid w:val="00DF0577"/>
    <w:rsid w:val="00E079BD"/>
    <w:rsid w:val="00E07B3F"/>
    <w:rsid w:val="00E11A16"/>
    <w:rsid w:val="00E15151"/>
    <w:rsid w:val="00E22361"/>
    <w:rsid w:val="00E27500"/>
    <w:rsid w:val="00E4666F"/>
    <w:rsid w:val="00E51823"/>
    <w:rsid w:val="00E51C0B"/>
    <w:rsid w:val="00E57CCB"/>
    <w:rsid w:val="00E628CA"/>
    <w:rsid w:val="00E66A97"/>
    <w:rsid w:val="00E85C28"/>
    <w:rsid w:val="00E941C7"/>
    <w:rsid w:val="00EA0E56"/>
    <w:rsid w:val="00EA699A"/>
    <w:rsid w:val="00EB5B4F"/>
    <w:rsid w:val="00EB7678"/>
    <w:rsid w:val="00EE094C"/>
    <w:rsid w:val="00EE34F4"/>
    <w:rsid w:val="00EF4A6B"/>
    <w:rsid w:val="00F01A88"/>
    <w:rsid w:val="00F10AB8"/>
    <w:rsid w:val="00F253E4"/>
    <w:rsid w:val="00F26C9B"/>
    <w:rsid w:val="00F5448D"/>
    <w:rsid w:val="00F630CA"/>
    <w:rsid w:val="00FA0D6D"/>
    <w:rsid w:val="00FB39E8"/>
    <w:rsid w:val="00FB78BE"/>
    <w:rsid w:val="00FC3F97"/>
    <w:rsid w:val="00FD4687"/>
    <w:rsid w:val="00FF0AB4"/>
    <w:rsid w:val="00FF4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9F"/>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7349F"/>
    <w:rPr>
      <w:color w:val="0000FF"/>
      <w:u w:val="single"/>
    </w:rPr>
  </w:style>
  <w:style w:type="character" w:customStyle="1" w:styleId="ParagraphedelisteCar">
    <w:name w:val="Paragraphe de liste Car"/>
    <w:basedOn w:val="Policepardfaut"/>
    <w:link w:val="Paragraphedeliste"/>
    <w:uiPriority w:val="34"/>
    <w:locked/>
    <w:rsid w:val="0017349F"/>
  </w:style>
  <w:style w:type="paragraph" w:styleId="Paragraphedeliste">
    <w:name w:val="List Paragraph"/>
    <w:basedOn w:val="Normal"/>
    <w:link w:val="ParagraphedelisteCar"/>
    <w:uiPriority w:val="34"/>
    <w:qFormat/>
    <w:rsid w:val="0017349F"/>
    <w:pPr>
      <w:spacing w:after="200" w:line="276" w:lineRule="auto"/>
      <w:ind w:left="720"/>
      <w:contextualSpacing/>
    </w:pPr>
    <w:rPr>
      <w:rFonts w:asciiTheme="minorHAnsi" w:hAnsiTheme="minorHAnsi" w:cstheme="minorBidi"/>
    </w:rPr>
  </w:style>
  <w:style w:type="paragraph" w:styleId="Textedebulles">
    <w:name w:val="Balloon Text"/>
    <w:basedOn w:val="Normal"/>
    <w:link w:val="TextedebullesCar"/>
    <w:uiPriority w:val="99"/>
    <w:semiHidden/>
    <w:unhideWhenUsed/>
    <w:rsid w:val="00C56221"/>
    <w:rPr>
      <w:rFonts w:ascii="Tahoma" w:hAnsi="Tahoma" w:cs="Tahoma"/>
      <w:sz w:val="16"/>
      <w:szCs w:val="16"/>
    </w:rPr>
  </w:style>
  <w:style w:type="character" w:customStyle="1" w:styleId="TextedebullesCar">
    <w:name w:val="Texte de bulles Car"/>
    <w:basedOn w:val="Policepardfaut"/>
    <w:link w:val="Textedebulles"/>
    <w:uiPriority w:val="99"/>
    <w:semiHidden/>
    <w:rsid w:val="00C56221"/>
    <w:rPr>
      <w:rFonts w:ascii="Tahoma" w:hAnsi="Tahoma" w:cs="Tahoma"/>
      <w:sz w:val="16"/>
      <w:szCs w:val="16"/>
    </w:rPr>
  </w:style>
  <w:style w:type="paragraph" w:styleId="En-tte">
    <w:name w:val="header"/>
    <w:basedOn w:val="Normal"/>
    <w:link w:val="En-tteCar"/>
    <w:uiPriority w:val="99"/>
    <w:unhideWhenUsed/>
    <w:rsid w:val="006A2346"/>
    <w:pPr>
      <w:tabs>
        <w:tab w:val="center" w:pos="4680"/>
        <w:tab w:val="right" w:pos="9360"/>
      </w:tabs>
    </w:pPr>
  </w:style>
  <w:style w:type="character" w:customStyle="1" w:styleId="En-tteCar">
    <w:name w:val="En-tête Car"/>
    <w:basedOn w:val="Policepardfaut"/>
    <w:link w:val="En-tte"/>
    <w:uiPriority w:val="99"/>
    <w:rsid w:val="006A2346"/>
    <w:rPr>
      <w:rFonts w:ascii="Calibri" w:hAnsi="Calibri" w:cs="Times New Roman"/>
    </w:rPr>
  </w:style>
  <w:style w:type="paragraph" w:styleId="Pieddepage">
    <w:name w:val="footer"/>
    <w:basedOn w:val="Normal"/>
    <w:link w:val="PieddepageCar"/>
    <w:uiPriority w:val="99"/>
    <w:unhideWhenUsed/>
    <w:rsid w:val="006A2346"/>
    <w:pPr>
      <w:tabs>
        <w:tab w:val="center" w:pos="4680"/>
        <w:tab w:val="right" w:pos="9360"/>
      </w:tabs>
    </w:pPr>
  </w:style>
  <w:style w:type="character" w:customStyle="1" w:styleId="PieddepageCar">
    <w:name w:val="Pied de page Car"/>
    <w:basedOn w:val="Policepardfaut"/>
    <w:link w:val="Pieddepage"/>
    <w:uiPriority w:val="99"/>
    <w:rsid w:val="006A2346"/>
    <w:rPr>
      <w:rFonts w:ascii="Calibri" w:hAnsi="Calibri" w:cs="Times New Roman"/>
    </w:rPr>
  </w:style>
  <w:style w:type="character" w:styleId="Lienhypertextesuivivisit">
    <w:name w:val="FollowedHyperlink"/>
    <w:basedOn w:val="Policepardfaut"/>
    <w:uiPriority w:val="99"/>
    <w:semiHidden/>
    <w:unhideWhenUsed/>
    <w:rsid w:val="00383F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9F"/>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7349F"/>
    <w:rPr>
      <w:color w:val="0000FF"/>
      <w:u w:val="single"/>
    </w:rPr>
  </w:style>
  <w:style w:type="character" w:customStyle="1" w:styleId="ParagraphedelisteCar">
    <w:name w:val="Paragraphe de liste Car"/>
    <w:basedOn w:val="Policepardfaut"/>
    <w:link w:val="Paragraphedeliste"/>
    <w:uiPriority w:val="34"/>
    <w:locked/>
    <w:rsid w:val="0017349F"/>
  </w:style>
  <w:style w:type="paragraph" w:styleId="Paragraphedeliste">
    <w:name w:val="List Paragraph"/>
    <w:basedOn w:val="Normal"/>
    <w:link w:val="ParagraphedelisteCar"/>
    <w:uiPriority w:val="34"/>
    <w:qFormat/>
    <w:rsid w:val="0017349F"/>
    <w:pPr>
      <w:spacing w:after="200" w:line="276" w:lineRule="auto"/>
      <w:ind w:left="720"/>
      <w:contextualSpacing/>
    </w:pPr>
    <w:rPr>
      <w:rFonts w:asciiTheme="minorHAnsi" w:hAnsiTheme="minorHAnsi" w:cstheme="minorBidi"/>
    </w:rPr>
  </w:style>
  <w:style w:type="paragraph" w:styleId="Textedebulles">
    <w:name w:val="Balloon Text"/>
    <w:basedOn w:val="Normal"/>
    <w:link w:val="TextedebullesCar"/>
    <w:uiPriority w:val="99"/>
    <w:semiHidden/>
    <w:unhideWhenUsed/>
    <w:rsid w:val="00C56221"/>
    <w:rPr>
      <w:rFonts w:ascii="Tahoma" w:hAnsi="Tahoma" w:cs="Tahoma"/>
      <w:sz w:val="16"/>
      <w:szCs w:val="16"/>
    </w:rPr>
  </w:style>
  <w:style w:type="character" w:customStyle="1" w:styleId="TextedebullesCar">
    <w:name w:val="Texte de bulles Car"/>
    <w:basedOn w:val="Policepardfaut"/>
    <w:link w:val="Textedebulles"/>
    <w:uiPriority w:val="99"/>
    <w:semiHidden/>
    <w:rsid w:val="00C56221"/>
    <w:rPr>
      <w:rFonts w:ascii="Tahoma" w:hAnsi="Tahoma" w:cs="Tahoma"/>
      <w:sz w:val="16"/>
      <w:szCs w:val="16"/>
    </w:rPr>
  </w:style>
  <w:style w:type="paragraph" w:styleId="En-tte">
    <w:name w:val="header"/>
    <w:basedOn w:val="Normal"/>
    <w:link w:val="En-tteCar"/>
    <w:uiPriority w:val="99"/>
    <w:unhideWhenUsed/>
    <w:rsid w:val="006A2346"/>
    <w:pPr>
      <w:tabs>
        <w:tab w:val="center" w:pos="4680"/>
        <w:tab w:val="right" w:pos="9360"/>
      </w:tabs>
    </w:pPr>
  </w:style>
  <w:style w:type="character" w:customStyle="1" w:styleId="En-tteCar">
    <w:name w:val="En-tête Car"/>
    <w:basedOn w:val="Policepardfaut"/>
    <w:link w:val="En-tte"/>
    <w:uiPriority w:val="99"/>
    <w:rsid w:val="006A2346"/>
    <w:rPr>
      <w:rFonts w:ascii="Calibri" w:hAnsi="Calibri" w:cs="Times New Roman"/>
    </w:rPr>
  </w:style>
  <w:style w:type="paragraph" w:styleId="Pieddepage">
    <w:name w:val="footer"/>
    <w:basedOn w:val="Normal"/>
    <w:link w:val="PieddepageCar"/>
    <w:uiPriority w:val="99"/>
    <w:unhideWhenUsed/>
    <w:rsid w:val="006A2346"/>
    <w:pPr>
      <w:tabs>
        <w:tab w:val="center" w:pos="4680"/>
        <w:tab w:val="right" w:pos="9360"/>
      </w:tabs>
    </w:pPr>
  </w:style>
  <w:style w:type="character" w:customStyle="1" w:styleId="PieddepageCar">
    <w:name w:val="Pied de page Car"/>
    <w:basedOn w:val="Policepardfaut"/>
    <w:link w:val="Pieddepage"/>
    <w:uiPriority w:val="99"/>
    <w:rsid w:val="006A2346"/>
    <w:rPr>
      <w:rFonts w:ascii="Calibri" w:hAnsi="Calibri" w:cs="Times New Roman"/>
    </w:rPr>
  </w:style>
  <w:style w:type="character" w:styleId="Lienhypertextesuivivisit">
    <w:name w:val="FollowedHyperlink"/>
    <w:basedOn w:val="Policepardfaut"/>
    <w:uiPriority w:val="99"/>
    <w:semiHidden/>
    <w:unhideWhenUsed/>
    <w:rsid w:val="00383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1665">
      <w:bodyDiv w:val="1"/>
      <w:marLeft w:val="0"/>
      <w:marRight w:val="0"/>
      <w:marTop w:val="0"/>
      <w:marBottom w:val="0"/>
      <w:divBdr>
        <w:top w:val="none" w:sz="0" w:space="0" w:color="auto"/>
        <w:left w:val="none" w:sz="0" w:space="0" w:color="auto"/>
        <w:bottom w:val="none" w:sz="0" w:space="0" w:color="auto"/>
        <w:right w:val="none" w:sz="0" w:space="0" w:color="auto"/>
      </w:divBdr>
    </w:div>
    <w:div w:id="653997848">
      <w:bodyDiv w:val="1"/>
      <w:marLeft w:val="0"/>
      <w:marRight w:val="0"/>
      <w:marTop w:val="0"/>
      <w:marBottom w:val="0"/>
      <w:divBdr>
        <w:top w:val="none" w:sz="0" w:space="0" w:color="auto"/>
        <w:left w:val="none" w:sz="0" w:space="0" w:color="auto"/>
        <w:bottom w:val="none" w:sz="0" w:space="0" w:color="auto"/>
        <w:right w:val="none" w:sz="0" w:space="0" w:color="auto"/>
      </w:divBdr>
    </w:div>
    <w:div w:id="673580172">
      <w:bodyDiv w:val="1"/>
      <w:marLeft w:val="0"/>
      <w:marRight w:val="0"/>
      <w:marTop w:val="0"/>
      <w:marBottom w:val="0"/>
      <w:divBdr>
        <w:top w:val="none" w:sz="0" w:space="0" w:color="auto"/>
        <w:left w:val="none" w:sz="0" w:space="0" w:color="auto"/>
        <w:bottom w:val="none" w:sz="0" w:space="0" w:color="auto"/>
        <w:right w:val="none" w:sz="0" w:space="0" w:color="auto"/>
      </w:divBdr>
    </w:div>
    <w:div w:id="1118111901">
      <w:bodyDiv w:val="1"/>
      <w:marLeft w:val="0"/>
      <w:marRight w:val="0"/>
      <w:marTop w:val="0"/>
      <w:marBottom w:val="0"/>
      <w:divBdr>
        <w:top w:val="none" w:sz="0" w:space="0" w:color="auto"/>
        <w:left w:val="none" w:sz="0" w:space="0" w:color="auto"/>
        <w:bottom w:val="none" w:sz="0" w:space="0" w:color="auto"/>
        <w:right w:val="none" w:sz="0" w:space="0" w:color="auto"/>
      </w:divBdr>
    </w:div>
    <w:div w:id="1268268760">
      <w:bodyDiv w:val="1"/>
      <w:marLeft w:val="0"/>
      <w:marRight w:val="0"/>
      <w:marTop w:val="0"/>
      <w:marBottom w:val="0"/>
      <w:divBdr>
        <w:top w:val="none" w:sz="0" w:space="0" w:color="auto"/>
        <w:left w:val="none" w:sz="0" w:space="0" w:color="auto"/>
        <w:bottom w:val="none" w:sz="0" w:space="0" w:color="auto"/>
        <w:right w:val="none" w:sz="0" w:space="0" w:color="auto"/>
      </w:divBdr>
    </w:div>
    <w:div w:id="1515605985">
      <w:bodyDiv w:val="1"/>
      <w:marLeft w:val="0"/>
      <w:marRight w:val="0"/>
      <w:marTop w:val="0"/>
      <w:marBottom w:val="0"/>
      <w:divBdr>
        <w:top w:val="none" w:sz="0" w:space="0" w:color="auto"/>
        <w:left w:val="none" w:sz="0" w:space="0" w:color="auto"/>
        <w:bottom w:val="none" w:sz="0" w:space="0" w:color="auto"/>
        <w:right w:val="none" w:sz="0" w:space="0" w:color="auto"/>
      </w:divBdr>
    </w:div>
    <w:div w:id="18643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witter.com/mclaudebibe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E07A-C76A-47D8-AC67-27EF5580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2214</Words>
  <Characters>12183</Characters>
  <Application>Microsoft Office Word</Application>
  <DocSecurity>4</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DFAIT-MAECI</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Durvin, Katie -MFM</dc:creator>
  <cp:lastModifiedBy>adelorme</cp:lastModifiedBy>
  <cp:revision>2</cp:revision>
  <cp:lastPrinted>2016-04-26T15:21:00Z</cp:lastPrinted>
  <dcterms:created xsi:type="dcterms:W3CDTF">2016-09-06T16:57:00Z</dcterms:created>
  <dcterms:modified xsi:type="dcterms:W3CDTF">2016-09-06T16:57:00Z</dcterms:modified>
</cp:coreProperties>
</file>